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30AF5" w14:textId="5DC49D5E" w:rsidR="00851805" w:rsidRPr="00572809" w:rsidRDefault="00851805" w:rsidP="00851805">
      <w:pPr>
        <w:pStyle w:val="3GPPHeader"/>
        <w:spacing w:after="60"/>
        <w:rPr>
          <w:sz w:val="32"/>
          <w:szCs w:val="32"/>
          <w:highlight w:val="yellow"/>
          <w:lang w:val="en-US"/>
        </w:rPr>
      </w:pPr>
      <w:r w:rsidRPr="00572809">
        <w:rPr>
          <w:lang w:val="en-US"/>
        </w:rPr>
        <w:t>3GPP TSG-RAN WG2 #12</w:t>
      </w:r>
      <w:r w:rsidR="00E7569B">
        <w:rPr>
          <w:lang w:val="en-US"/>
        </w:rPr>
        <w:t>3</w:t>
      </w:r>
      <w:r w:rsidRPr="00572809">
        <w:rPr>
          <w:lang w:val="en-US"/>
        </w:rPr>
        <w:tab/>
      </w:r>
      <w:r w:rsidR="00AA4B68" w:rsidRPr="00AA4B68">
        <w:rPr>
          <w:lang w:val="en-US"/>
        </w:rPr>
        <w:t>R2-2308898</w:t>
      </w:r>
    </w:p>
    <w:p w14:paraId="7D5C3F61" w14:textId="3AA7839D" w:rsidR="00851805" w:rsidRDefault="00BE1F03" w:rsidP="00851805">
      <w:pPr>
        <w:pStyle w:val="3GPPHeader"/>
      </w:pPr>
      <w:r>
        <w:t>To</w:t>
      </w:r>
      <w:r w:rsidR="00A254AD">
        <w:t>u</w:t>
      </w:r>
      <w:r>
        <w:t>louse</w:t>
      </w:r>
      <w:r w:rsidR="00D419BC">
        <w:t xml:space="preserve">, </w:t>
      </w:r>
      <w:r>
        <w:t>France</w:t>
      </w:r>
      <w:r w:rsidR="00D419BC">
        <w:t xml:space="preserve">, </w:t>
      </w:r>
      <w:r w:rsidR="004A030E">
        <w:t>August</w:t>
      </w:r>
      <w:r w:rsidR="00DC0BFA">
        <w:t xml:space="preserve"> 2</w:t>
      </w:r>
      <w:r w:rsidR="004A030E">
        <w:t>1</w:t>
      </w:r>
      <w:r w:rsidR="00990C5B">
        <w:rPr>
          <w:vertAlign w:val="superscript"/>
        </w:rPr>
        <w:t>st</w:t>
      </w:r>
      <w:r w:rsidR="0002340C">
        <w:t xml:space="preserve"> – 2</w:t>
      </w:r>
      <w:r w:rsidR="004A030E">
        <w:t>5</w:t>
      </w:r>
      <w:r w:rsidR="0002340C" w:rsidRPr="0002340C">
        <w:rPr>
          <w:vertAlign w:val="superscript"/>
        </w:rPr>
        <w:t>th</w:t>
      </w:r>
      <w:r w:rsidR="0002340C">
        <w:t xml:space="preserve"> 2023</w:t>
      </w:r>
    </w:p>
    <w:p w14:paraId="56F85F07" w14:textId="77777777"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Pr="00E650AD">
        <w:rPr>
          <w:sz w:val="22"/>
          <w:szCs w:val="22"/>
          <w:lang w:val="en-US"/>
        </w:rPr>
        <w:t>7.16.2.2</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77777777" w:rsidR="00851805" w:rsidRPr="00CE0424" w:rsidRDefault="00851805" w:rsidP="00851805">
      <w:pPr>
        <w:pStyle w:val="3GPPHeader"/>
        <w:rPr>
          <w:sz w:val="22"/>
          <w:szCs w:val="22"/>
        </w:rPr>
      </w:pPr>
      <w:r>
        <w:rPr>
          <w:sz w:val="22"/>
          <w:szCs w:val="22"/>
        </w:rPr>
        <w:t>Title:</w:t>
      </w:r>
      <w:r w:rsidRPr="00CE0424">
        <w:rPr>
          <w:sz w:val="22"/>
          <w:szCs w:val="22"/>
        </w:rPr>
        <w:tab/>
      </w:r>
      <w:r>
        <w:rPr>
          <w:sz w:val="22"/>
          <w:szCs w:val="22"/>
        </w:rPr>
        <w:t>Data collection for AI/ML</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7B520870" w14:textId="11FF64E1" w:rsidR="00851805" w:rsidRPr="00AD7CCA" w:rsidRDefault="00851805" w:rsidP="00851805">
      <w:pPr>
        <w:pStyle w:val="BodyText"/>
      </w:pPr>
      <w:bookmarkStart w:id="1" w:name="_Ref178064866"/>
      <w:r>
        <w:t>From previous meeting agreements and related discussions, in this paper we provide our views on what RAN2 should focus on</w:t>
      </w:r>
      <w:r w:rsidR="00986F00">
        <w:t>,</w:t>
      </w:r>
      <w:r>
        <w:t xml:space="preserve"> when it comes to collection of data for the AIML for PHY SI, while also sharing our thoughts with respect to the previously endorsed table in </w:t>
      </w:r>
      <w:hyperlink r:id="rId11" w:history="1">
        <w:r w:rsidRPr="007E580F">
          <w:rPr>
            <w:rStyle w:val="Hyperlink"/>
          </w:rPr>
          <w:t>R2-2302286</w:t>
        </w:r>
      </w:hyperlink>
      <w:r>
        <w:t xml:space="preserve">. </w:t>
      </w:r>
    </w:p>
    <w:p w14:paraId="151AA1AF" w14:textId="77777777" w:rsidR="00851805" w:rsidRDefault="00851805" w:rsidP="00851805">
      <w:pPr>
        <w:pStyle w:val="Heading1"/>
      </w:pPr>
      <w:r>
        <w:t>2</w:t>
      </w:r>
      <w:r>
        <w:tab/>
      </w:r>
      <w:r w:rsidRPr="00CE0424">
        <w:t>Discussion</w:t>
      </w:r>
      <w:bookmarkEnd w:id="1"/>
    </w:p>
    <w:p w14:paraId="39B966C1" w14:textId="10A1571A" w:rsidR="00851805" w:rsidRDefault="00851805" w:rsidP="6A4DBFDC">
      <w:pPr>
        <w:jc w:val="both"/>
        <w:rPr>
          <w:rFonts w:ascii="Arial" w:hAnsi="Arial"/>
          <w:lang w:eastAsia="zh-CN"/>
        </w:rPr>
      </w:pPr>
      <w:r w:rsidRPr="006F759C">
        <w:rPr>
          <w:rFonts w:ascii="Arial" w:hAnsi="Arial"/>
          <w:lang w:eastAsia="zh-CN"/>
        </w:rPr>
        <w:t>During RAN2#12</w:t>
      </w:r>
      <w:r w:rsidR="0025134F">
        <w:rPr>
          <w:rFonts w:ascii="Arial" w:hAnsi="Arial"/>
          <w:lang w:eastAsia="zh-CN"/>
        </w:rPr>
        <w:t>2</w:t>
      </w:r>
      <w:r w:rsidRPr="006F759C">
        <w:rPr>
          <w:rFonts w:ascii="Arial" w:hAnsi="Arial"/>
          <w:lang w:eastAsia="zh-CN"/>
        </w:rPr>
        <w:t xml:space="preserve">, RAN2 spent time analysing the </w:t>
      </w:r>
      <w:r w:rsidR="005D59D2">
        <w:rPr>
          <w:rFonts w:ascii="Arial" w:hAnsi="Arial"/>
          <w:lang w:eastAsia="zh-CN"/>
        </w:rPr>
        <w:t>possible requirements of data collection fr</w:t>
      </w:r>
      <w:r w:rsidR="00D925AC">
        <w:rPr>
          <w:rFonts w:ascii="Arial" w:hAnsi="Arial"/>
          <w:lang w:eastAsia="zh-CN"/>
        </w:rPr>
        <w:t>a</w:t>
      </w:r>
      <w:r w:rsidR="005D59D2">
        <w:rPr>
          <w:rFonts w:ascii="Arial" w:hAnsi="Arial"/>
          <w:lang w:eastAsia="zh-CN"/>
        </w:rPr>
        <w:t>meworks</w:t>
      </w:r>
      <w:r w:rsidRPr="006F759C">
        <w:rPr>
          <w:rFonts w:ascii="Arial" w:hAnsi="Arial"/>
          <w:lang w:eastAsia="zh-CN"/>
        </w:rPr>
        <w:t>. In this paper, we further analyse those methods</w:t>
      </w:r>
      <w:r>
        <w:rPr>
          <w:rFonts w:ascii="Arial" w:hAnsi="Arial"/>
          <w:lang w:eastAsia="zh-CN"/>
        </w:rPr>
        <w:t>,</w:t>
      </w:r>
      <w:r w:rsidRPr="006F759C">
        <w:rPr>
          <w:rFonts w:ascii="Arial" w:hAnsi="Arial"/>
          <w:lang w:eastAsia="zh-CN"/>
        </w:rPr>
        <w:t xml:space="preserve"> and we try to describe how those can be adopted (if possible) in the context of AIML.</w:t>
      </w:r>
    </w:p>
    <w:p w14:paraId="45C2EF4E" w14:textId="52F62DD6" w:rsidR="002B6588" w:rsidRDefault="002B6588" w:rsidP="00851805">
      <w:pPr>
        <w:rPr>
          <w:rFonts w:ascii="Arial" w:hAnsi="Arial"/>
          <w:lang w:eastAsia="zh-CN"/>
        </w:rPr>
      </w:pPr>
      <w:r>
        <w:rPr>
          <w:rFonts w:ascii="Arial" w:hAnsi="Arial"/>
          <w:lang w:eastAsia="zh-CN"/>
        </w:rPr>
        <w:t xml:space="preserve">In particular, </w:t>
      </w:r>
      <w:r w:rsidR="00EC3BE2">
        <w:rPr>
          <w:rFonts w:ascii="Arial" w:hAnsi="Arial"/>
          <w:lang w:eastAsia="zh-CN"/>
        </w:rPr>
        <w:t xml:space="preserve">in the latest RAN2#122 meeting, </w:t>
      </w:r>
      <w:r>
        <w:rPr>
          <w:rFonts w:ascii="Arial" w:hAnsi="Arial"/>
          <w:lang w:eastAsia="zh-CN"/>
        </w:rPr>
        <w:t>the following agreements were taken:</w:t>
      </w:r>
    </w:p>
    <w:tbl>
      <w:tblPr>
        <w:tblStyle w:val="TableGrid"/>
        <w:tblW w:w="0" w:type="auto"/>
        <w:tblLook w:val="04A0" w:firstRow="1" w:lastRow="0" w:firstColumn="1" w:lastColumn="0" w:noHBand="0" w:noVBand="1"/>
      </w:tblPr>
      <w:tblGrid>
        <w:gridCol w:w="9629"/>
      </w:tblGrid>
      <w:tr w:rsidR="002B6588" w14:paraId="02165D71" w14:textId="77777777" w:rsidTr="002B6588">
        <w:tc>
          <w:tcPr>
            <w:tcW w:w="9629" w:type="dxa"/>
          </w:tcPr>
          <w:p w14:paraId="32B0D032" w14:textId="77777777" w:rsidR="00D648D5" w:rsidRPr="0060534F" w:rsidRDefault="00D648D5" w:rsidP="00D648D5">
            <w:pPr>
              <w:pStyle w:val="Agreement"/>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442FD040" w14:textId="77777777" w:rsidR="00D648D5" w:rsidRPr="0060534F" w:rsidRDefault="00D648D5" w:rsidP="00D648D5">
            <w:pPr>
              <w:pStyle w:val="Agreement"/>
              <w:numPr>
                <w:ilvl w:val="0"/>
                <w:numId w:val="0"/>
              </w:numPr>
              <w:ind w:left="1619"/>
            </w:pPr>
            <w:r>
              <w:t xml:space="preserve">- </w:t>
            </w:r>
            <w:r w:rsidRPr="0060534F">
              <w:t>For model inference of UE-sided model, input data for model inference is available inside the UE.</w:t>
            </w:r>
          </w:p>
          <w:p w14:paraId="79550907" w14:textId="77777777" w:rsidR="00D648D5" w:rsidRDefault="00D648D5" w:rsidP="00D648D5">
            <w:pPr>
              <w:pStyle w:val="Agreement"/>
              <w:numPr>
                <w:ilvl w:val="0"/>
                <w:numId w:val="0"/>
              </w:numP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4E485351" w14:textId="77777777" w:rsidR="00D648D5" w:rsidRPr="0060534F" w:rsidRDefault="00D648D5" w:rsidP="00D648D5">
            <w:pPr>
              <w:spacing w:before="120" w:after="120"/>
            </w:pPr>
          </w:p>
          <w:p w14:paraId="47B13B58" w14:textId="77777777" w:rsidR="00D648D5" w:rsidRPr="0060534F" w:rsidRDefault="00D648D5" w:rsidP="00D648D5">
            <w:pPr>
              <w:pStyle w:val="Agreement"/>
            </w:pPr>
            <w:r w:rsidRPr="0060534F">
              <w:t>P2a</w:t>
            </w:r>
            <w:r>
              <w:t xml:space="preserve">: </w:t>
            </w:r>
            <w:r w:rsidRPr="0060534F">
              <w:t xml:space="preserve">LS to ask RAN1 to provide the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753E6E8A" w14:textId="77777777" w:rsidR="00D648D5" w:rsidRPr="0060534F" w:rsidRDefault="00D648D5" w:rsidP="00D648D5">
            <w:pPr>
              <w:pStyle w:val="Agreement"/>
            </w:pPr>
            <w:r w:rsidRPr="0060534F">
              <w:t>P2b: LS to ask RAN1 about the reporting type (e.g., periodic, event triggered</w:t>
            </w:r>
            <w:r>
              <w:t>, other</w:t>
            </w:r>
            <w:r w:rsidRPr="0060534F">
              <w:t xml:space="preserve">) of the identified data content. </w:t>
            </w:r>
          </w:p>
          <w:p w14:paraId="7723A096" w14:textId="77777777" w:rsidR="00D648D5" w:rsidRDefault="00D648D5" w:rsidP="00D648D5">
            <w:pPr>
              <w:pStyle w:val="Agreement"/>
            </w:pPr>
            <w:r w:rsidRPr="0060534F">
              <w:t>P3:</w:t>
            </w:r>
            <w:r>
              <w:t xml:space="preserve"> </w:t>
            </w:r>
            <w:r w:rsidRPr="0060534F">
              <w:t xml:space="preserve">LS to ask RAN1 about the typical size (value or value range) of the identified data content. </w:t>
            </w:r>
          </w:p>
          <w:p w14:paraId="3FBCC5FB" w14:textId="77777777" w:rsidR="00403B06" w:rsidRPr="0060534F" w:rsidRDefault="00403B06" w:rsidP="00403B06">
            <w:pPr>
              <w:pStyle w:val="Agreement"/>
            </w:pPr>
            <w:r w:rsidRPr="0060534F">
              <w:t xml:space="preserve">P4a: </w:t>
            </w:r>
            <w:r w:rsidRPr="0060534F">
              <w:rPr>
                <w:rFonts w:hint="eastAsia"/>
              </w:rPr>
              <w:t>F</w:t>
            </w:r>
            <w:r w:rsidRPr="0060534F">
              <w:t>or the latency requirement of data collection, RAN2 assumes:</w:t>
            </w:r>
          </w:p>
          <w:p w14:paraId="4803F8D0" w14:textId="77777777" w:rsidR="00403B06" w:rsidRPr="0060534F" w:rsidRDefault="00403B06" w:rsidP="00403B06">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5B6D1A1A" w14:textId="77777777" w:rsidR="00403B06" w:rsidRPr="0060534F" w:rsidRDefault="00403B06" w:rsidP="00403B06">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038F4FC9" w14:textId="77777777" w:rsidR="00403B06" w:rsidRPr="0060534F" w:rsidRDefault="00403B06" w:rsidP="00403B06">
            <w:pPr>
              <w:pStyle w:val="Agreement"/>
              <w:numPr>
                <w:ilvl w:val="0"/>
                <w:numId w:val="0"/>
              </w:numP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2BF47A8F" w14:textId="77777777" w:rsidR="00403B06" w:rsidRDefault="00403B06" w:rsidP="00403B06">
            <w:pPr>
              <w:pStyle w:val="Agreement"/>
            </w:pPr>
            <w:r w:rsidRPr="0060534F">
              <w:lastRenderedPageBreak/>
              <w:t xml:space="preserve">P4b: LS to RAN1 to confirm the WA </w:t>
            </w:r>
            <w:r>
              <w:t xml:space="preserve">(in P4a) </w:t>
            </w:r>
            <w:r w:rsidRPr="0060534F">
              <w:t xml:space="preserve">on the latency requirement, and ask RAN1 about the typical latency requirement (value or value range) to transfer the identified data content. </w:t>
            </w:r>
          </w:p>
          <w:p w14:paraId="5D0E7DB0" w14:textId="77777777" w:rsidR="00403B06" w:rsidRPr="00695825" w:rsidRDefault="00403B06" w:rsidP="00403B06">
            <w:pPr>
              <w:pStyle w:val="Doc-text2"/>
            </w:pPr>
          </w:p>
          <w:p w14:paraId="0FF8BC8E" w14:textId="77777777" w:rsidR="00403B06" w:rsidRPr="0060534F" w:rsidRDefault="00403B06" w:rsidP="00403B06">
            <w:pPr>
              <w:pStyle w:val="Agreement"/>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5466517A" w14:textId="77777777" w:rsidR="00403B06" w:rsidRDefault="00403B06" w:rsidP="00403B06">
            <w:pPr>
              <w:pStyle w:val="Agreement"/>
            </w:pPr>
            <w:r>
              <w:t>P</w:t>
            </w:r>
            <w:r w:rsidRPr="0060534F">
              <w:t xml:space="preserve">6b: LS to RAN1 to confirm the WA </w:t>
            </w:r>
            <w:r>
              <w:t xml:space="preserve">(in P6a) </w:t>
            </w:r>
            <w:r w:rsidRPr="0060534F">
              <w:t xml:space="preserve">on RRC state of data collection. </w:t>
            </w:r>
          </w:p>
          <w:p w14:paraId="1446FEA2" w14:textId="77777777" w:rsidR="003B66F4" w:rsidRPr="0060534F" w:rsidRDefault="003B66F4" w:rsidP="003B66F4">
            <w:pPr>
              <w:pStyle w:val="Agreement"/>
            </w:pPr>
            <w:r w:rsidRPr="0060534F">
              <w:t>P5</w:t>
            </w:r>
            <w:r w:rsidRPr="0060534F">
              <w:rPr>
                <w:lang w:val="en-US"/>
              </w:rPr>
              <w:t>a</w:t>
            </w:r>
            <w:r w:rsidRPr="0060534F">
              <w:t>: For the data generation entity and termination entity deployed at different entities, RAN2 assumes:</w:t>
            </w:r>
          </w:p>
          <w:p w14:paraId="02A35A08" w14:textId="77777777" w:rsidR="003B66F4" w:rsidRPr="0060534F" w:rsidRDefault="003B66F4" w:rsidP="003B66F4">
            <w:pPr>
              <w:pStyle w:val="Agreement"/>
              <w:numPr>
                <w:ilvl w:val="0"/>
                <w:numId w:val="0"/>
              </w:numPr>
              <w:ind w:left="1619"/>
              <w:rPr>
                <w:lang w:eastAsia="en-US"/>
              </w:rPr>
            </w:pPr>
            <w:r w:rsidRPr="0060534F">
              <w:rPr>
                <w:lang w:eastAsia="en-US"/>
              </w:rPr>
              <w:t>For CSI enhancement and beam management use cases:</w:t>
            </w:r>
          </w:p>
          <w:p w14:paraId="4FC19BD4" w14:textId="77777777" w:rsidR="003B66F4" w:rsidRPr="00C91FC8" w:rsidRDefault="003B66F4" w:rsidP="003B66F4">
            <w:pPr>
              <w:pStyle w:val="Agreement"/>
              <w:numPr>
                <w:ilvl w:val="0"/>
                <w:numId w:val="0"/>
              </w:numP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5183F353"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 and terminated at gNB.</w:t>
            </w:r>
          </w:p>
          <w:p w14:paraId="4E1AA9CB"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gNB and terminated at UE.</w:t>
            </w:r>
          </w:p>
          <w:p w14:paraId="6FF0A723"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7E48D41C" w14:textId="77777777" w:rsidR="003B66F4" w:rsidRPr="00C91FC8" w:rsidRDefault="003B66F4" w:rsidP="003B66F4">
            <w:pPr>
              <w:pStyle w:val="Agreement"/>
              <w:numPr>
                <w:ilvl w:val="0"/>
                <w:numId w:val="0"/>
              </w:numPr>
              <w:ind w:left="1619"/>
              <w:rPr>
                <w:lang w:eastAsia="en-US"/>
              </w:rPr>
            </w:pPr>
            <w:r w:rsidRPr="00C91FC8">
              <w:rPr>
                <w:lang w:eastAsia="en-US"/>
              </w:rPr>
              <w:t>For positioning enhancement use case:</w:t>
            </w:r>
          </w:p>
          <w:p w14:paraId="4AFE33AD"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model training, training data can be generated by UE/gNB and terminated at LMF/OTT server.</w:t>
            </w:r>
          </w:p>
          <w:p w14:paraId="15115748"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UE/gNB and terminated at LMF</w:t>
            </w:r>
            <w:r>
              <w:rPr>
                <w:lang w:eastAsia="en-US"/>
              </w:rPr>
              <w:t xml:space="preserve"> and/or gNB</w:t>
            </w:r>
            <w:r w:rsidRPr="00C91FC8">
              <w:rPr>
                <w:lang w:eastAsia="en-US"/>
              </w:rPr>
              <w:t>.</w:t>
            </w:r>
          </w:p>
          <w:p w14:paraId="554E1A0E"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LMF/gNB and terminated at the UE.</w:t>
            </w:r>
          </w:p>
          <w:p w14:paraId="304A6E11"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UE/gNB and terminated at LMF.</w:t>
            </w:r>
          </w:p>
          <w:p w14:paraId="326D59FE" w14:textId="77777777" w:rsidR="003B66F4" w:rsidRPr="0060534F" w:rsidRDefault="003B66F4" w:rsidP="003B66F4">
            <w:pPr>
              <w:pStyle w:val="Agreement"/>
              <w:rPr>
                <w:rFonts w:eastAsia="SimSun"/>
                <w:lang w:val="en-US" w:eastAsia="zh-CN"/>
              </w:rPr>
            </w:pPr>
            <w:r w:rsidRPr="0060534F">
              <w:t xml:space="preserve">P5b: LS to RAN1 to confirm the WA </w:t>
            </w:r>
            <w:r>
              <w:t xml:space="preserve">(in P5a) </w:t>
            </w:r>
            <w:r w:rsidRPr="0060534F">
              <w:t>on the generation entity and termination entity of the identified data content and ask for supplemen</w:t>
            </w:r>
            <w:r w:rsidRPr="0060534F">
              <w:rPr>
                <w:lang w:val="en-US"/>
              </w:rPr>
              <w:t>t, if any.</w:t>
            </w:r>
          </w:p>
          <w:p w14:paraId="45BD1689" w14:textId="207E91EC" w:rsidR="002B6588" w:rsidRPr="00001BC7" w:rsidRDefault="002B6588" w:rsidP="00D648D5">
            <w:pPr>
              <w:pStyle w:val="Agreement"/>
              <w:numPr>
                <w:ilvl w:val="0"/>
                <w:numId w:val="0"/>
              </w:numPr>
              <w:ind w:left="1619"/>
              <w:rPr>
                <w:lang w:eastAsia="zh-CN"/>
              </w:rPr>
            </w:pPr>
          </w:p>
        </w:tc>
      </w:tr>
    </w:tbl>
    <w:p w14:paraId="607B8C86" w14:textId="77777777" w:rsidR="002B6588" w:rsidRDefault="002B6588" w:rsidP="00851805">
      <w:pPr>
        <w:rPr>
          <w:rFonts w:ascii="Arial" w:hAnsi="Arial"/>
          <w:lang w:eastAsia="zh-CN"/>
        </w:rPr>
      </w:pPr>
    </w:p>
    <w:p w14:paraId="299E0117" w14:textId="00720332" w:rsidR="00E51C54" w:rsidRDefault="00E51C54" w:rsidP="00851805">
      <w:pPr>
        <w:rPr>
          <w:rFonts w:ascii="Arial" w:hAnsi="Arial"/>
          <w:lang w:eastAsia="zh-CN"/>
        </w:rPr>
      </w:pPr>
      <w:r>
        <w:rPr>
          <w:rFonts w:ascii="Arial" w:hAnsi="Arial"/>
          <w:lang w:eastAsia="zh-CN"/>
        </w:rPr>
        <w:t xml:space="preserve">From the above agreements, we assume that the </w:t>
      </w:r>
      <w:r w:rsidR="00262249">
        <w:rPr>
          <w:rFonts w:ascii="Arial" w:hAnsi="Arial"/>
          <w:lang w:eastAsia="zh-CN"/>
        </w:rPr>
        <w:t xml:space="preserve">RAN2 assumptions on the </w:t>
      </w:r>
      <w:r>
        <w:rPr>
          <w:rFonts w:ascii="Arial" w:hAnsi="Arial"/>
          <w:lang w:eastAsia="zh-CN"/>
        </w:rPr>
        <w:t xml:space="preserve">requirements </w:t>
      </w:r>
      <w:r w:rsidR="00262249">
        <w:rPr>
          <w:rFonts w:ascii="Arial" w:hAnsi="Arial"/>
          <w:lang w:eastAsia="zh-CN"/>
        </w:rPr>
        <w:t>related to</w:t>
      </w:r>
      <w:r>
        <w:rPr>
          <w:rFonts w:ascii="Arial" w:hAnsi="Arial"/>
          <w:lang w:eastAsia="zh-CN"/>
        </w:rPr>
        <w:t xml:space="preserve"> data collection will be studied now in RAN1</w:t>
      </w:r>
      <w:r w:rsidR="00262249">
        <w:rPr>
          <w:rFonts w:ascii="Arial" w:hAnsi="Arial"/>
          <w:lang w:eastAsia="zh-CN"/>
        </w:rPr>
        <w:t>. In the following, we present our view</w:t>
      </w:r>
      <w:r w:rsidR="005B4377">
        <w:rPr>
          <w:rFonts w:ascii="Arial" w:hAnsi="Arial"/>
          <w:lang w:eastAsia="zh-CN"/>
        </w:rPr>
        <w:t xml:space="preserve"> on the data collection frameworks taking into account the RAN2 assumptions on the requirements.</w:t>
      </w:r>
    </w:p>
    <w:p w14:paraId="3F6BDCD3" w14:textId="77777777" w:rsidR="00851805" w:rsidRDefault="00851805" w:rsidP="00851805">
      <w:pPr>
        <w:pStyle w:val="BodyText"/>
      </w:pPr>
      <w:r>
        <w:t xml:space="preserve">During RAN2#121, RAN2 endorsed in </w:t>
      </w:r>
      <w:hyperlink r:id="rId12" w:history="1">
        <w:r w:rsidRPr="007E580F">
          <w:rPr>
            <w:rStyle w:val="Hyperlink"/>
          </w:rPr>
          <w:t>R2-2302286</w:t>
        </w:r>
      </w:hyperlink>
      <w:r w:rsidRPr="00C27DAB">
        <w:t xml:space="preserve"> </w:t>
      </w:r>
      <w:r>
        <w:t xml:space="preserve">a table identifying potential data collection frameworks. The table serves as a starting point and could be modified according to the SI progress. </w:t>
      </w:r>
    </w:p>
    <w:p w14:paraId="2803573B" w14:textId="77777777" w:rsidR="00851805" w:rsidRDefault="00851805" w:rsidP="00851805">
      <w:pPr>
        <w:pStyle w:val="BodyText"/>
      </w:pPr>
      <w:r>
        <w:t>The frameworks identified by RAN2 for possible data collection used are listed in the follow:</w:t>
      </w:r>
    </w:p>
    <w:p w14:paraId="23363E57" w14:textId="77777777" w:rsidR="00851805" w:rsidRPr="006D24F1" w:rsidRDefault="00851805" w:rsidP="00851805">
      <w:pPr>
        <w:pStyle w:val="BodyText"/>
        <w:numPr>
          <w:ilvl w:val="0"/>
          <w:numId w:val="38"/>
        </w:numPr>
      </w:pPr>
      <w:r w:rsidRPr="00CF781F">
        <w:rPr>
          <w:lang w:val="en-US"/>
        </w:rPr>
        <w:t>Logged MDT</w:t>
      </w:r>
    </w:p>
    <w:p w14:paraId="73024327" w14:textId="77777777" w:rsidR="00851805" w:rsidRPr="006A14BD" w:rsidRDefault="00851805" w:rsidP="00851805">
      <w:pPr>
        <w:pStyle w:val="BodyText"/>
        <w:numPr>
          <w:ilvl w:val="0"/>
          <w:numId w:val="38"/>
        </w:numPr>
      </w:pPr>
      <w:r w:rsidRPr="00CF781F">
        <w:rPr>
          <w:lang w:val="en-US"/>
        </w:rPr>
        <w:t>Immediate MDT</w:t>
      </w:r>
    </w:p>
    <w:p w14:paraId="38D72E2C" w14:textId="77777777" w:rsidR="00851805" w:rsidRPr="000D260C" w:rsidRDefault="00851805" w:rsidP="00851805">
      <w:pPr>
        <w:pStyle w:val="BodyText"/>
        <w:numPr>
          <w:ilvl w:val="0"/>
          <w:numId w:val="38"/>
        </w:numPr>
      </w:pPr>
      <w:r w:rsidRPr="00CF781F">
        <w:rPr>
          <w:lang w:val="en-US"/>
        </w:rPr>
        <w:t>L3 measurements</w:t>
      </w:r>
    </w:p>
    <w:p w14:paraId="32132354" w14:textId="77777777" w:rsidR="00851805" w:rsidRPr="00873FA8" w:rsidRDefault="00851805" w:rsidP="00851805">
      <w:pPr>
        <w:pStyle w:val="BodyText"/>
        <w:numPr>
          <w:ilvl w:val="0"/>
          <w:numId w:val="38"/>
        </w:numPr>
      </w:pPr>
      <w:r w:rsidRPr="00CF781F">
        <w:rPr>
          <w:lang w:val="en-US"/>
        </w:rPr>
        <w:t>L1 measurement (CSI reporting)</w:t>
      </w:r>
    </w:p>
    <w:p w14:paraId="233F2316" w14:textId="77777777" w:rsidR="00851805" w:rsidRPr="00CF7575" w:rsidRDefault="00851805" w:rsidP="00851805">
      <w:pPr>
        <w:pStyle w:val="BodyText"/>
        <w:numPr>
          <w:ilvl w:val="0"/>
          <w:numId w:val="38"/>
        </w:numPr>
      </w:pPr>
      <w:r w:rsidRPr="00CF781F">
        <w:rPr>
          <w:lang w:val="en-US"/>
        </w:rPr>
        <w:t>UAI</w:t>
      </w:r>
    </w:p>
    <w:p w14:paraId="4831C71A" w14:textId="77777777" w:rsidR="00851805" w:rsidRPr="00B3672F" w:rsidRDefault="00851805" w:rsidP="00851805">
      <w:pPr>
        <w:pStyle w:val="BodyText"/>
        <w:numPr>
          <w:ilvl w:val="0"/>
          <w:numId w:val="38"/>
        </w:numPr>
      </w:pPr>
      <w:r w:rsidRPr="00CF781F">
        <w:rPr>
          <w:lang w:val="en-US"/>
        </w:rPr>
        <w:t>Early measurements</w:t>
      </w:r>
    </w:p>
    <w:p w14:paraId="38B00E8E" w14:textId="77777777" w:rsidR="00851805" w:rsidRDefault="00851805" w:rsidP="00851805">
      <w:pPr>
        <w:pStyle w:val="BodyText"/>
        <w:numPr>
          <w:ilvl w:val="0"/>
          <w:numId w:val="38"/>
        </w:numPr>
        <w:rPr>
          <w:lang w:val="en-US"/>
        </w:rPr>
      </w:pPr>
      <w:r w:rsidRPr="00CF781F">
        <w:rPr>
          <w:lang w:val="en-US"/>
        </w:rPr>
        <w:t>LPP</w:t>
      </w:r>
    </w:p>
    <w:p w14:paraId="552B3CD2" w14:textId="18EF617C" w:rsidR="00851805" w:rsidRDefault="00851805" w:rsidP="00402D9F">
      <w:pPr>
        <w:pStyle w:val="Heading2"/>
      </w:pPr>
      <w:r w:rsidRPr="00D320B9">
        <w:lastRenderedPageBreak/>
        <w:t>2.</w:t>
      </w:r>
      <w:r>
        <w:t>1</w:t>
      </w:r>
      <w:r w:rsidRPr="00D320B9">
        <w:tab/>
        <w:t>NW-side models</w:t>
      </w:r>
    </w:p>
    <w:p w14:paraId="76C918F4" w14:textId="34BF282D" w:rsidR="00851805" w:rsidRPr="00B971CB" w:rsidRDefault="00851805" w:rsidP="005D183A">
      <w:pPr>
        <w:pStyle w:val="Heading3"/>
      </w:pPr>
      <w:r>
        <w:t>2.</w:t>
      </w:r>
      <w:r w:rsidR="005D183A">
        <w:t>1</w:t>
      </w:r>
      <w:r>
        <w:t>.1</w:t>
      </w:r>
      <w:r>
        <w:tab/>
        <w:t>T</w:t>
      </w:r>
      <w:r w:rsidRPr="00D320B9">
        <w:t>raining</w:t>
      </w:r>
    </w:p>
    <w:p w14:paraId="4660B777" w14:textId="2BD7C336" w:rsidR="006E6A23" w:rsidRDefault="00AE1BE6" w:rsidP="00851805">
      <w:pPr>
        <w:pStyle w:val="BodyText"/>
      </w:pPr>
      <w:r>
        <w:t xml:space="preserve">For </w:t>
      </w:r>
      <w:r w:rsidR="00BB7FBA">
        <w:t xml:space="preserve">training of </w:t>
      </w:r>
      <w:r>
        <w:t>NW-</w:t>
      </w:r>
      <w:r w:rsidR="00CD2289" w:rsidRPr="00D320B9">
        <w:t>side</w:t>
      </w:r>
      <w:r>
        <w:t xml:space="preserve"> models</w:t>
      </w:r>
      <w:r w:rsidR="00E25799">
        <w:t>,</w:t>
      </w:r>
      <w:r w:rsidR="00530C7F">
        <w:t xml:space="preserve"> the </w:t>
      </w:r>
      <w:r w:rsidR="002C5EF9">
        <w:t>suitability</w:t>
      </w:r>
      <w:r w:rsidR="00530C7F">
        <w:t xml:space="preserve"> of the above legacy frameworks or new frameworks very much depend</w:t>
      </w:r>
      <w:r w:rsidR="00316D9B">
        <w:t>s</w:t>
      </w:r>
      <w:r w:rsidR="00530C7F">
        <w:t xml:space="preserve"> on </w:t>
      </w:r>
      <w:r w:rsidR="00BB7FBA">
        <w:t xml:space="preserve">the location of the training function. </w:t>
      </w:r>
      <w:r w:rsidR="002C5EF9">
        <w:t xml:space="preserve">Hence, before discussing the suitability </w:t>
      </w:r>
      <w:r w:rsidR="00123EB4">
        <w:t xml:space="preserve">of the various data collection frameworks, RAN2 should first discuss </w:t>
      </w:r>
      <w:r w:rsidR="006E6A23">
        <w:t>the location of the training function of NW</w:t>
      </w:r>
      <w:r w:rsidR="00833C88">
        <w:t>-</w:t>
      </w:r>
      <w:r w:rsidR="00833C88" w:rsidRPr="00D320B9">
        <w:t>side</w:t>
      </w:r>
      <w:r w:rsidR="006E6A23">
        <w:t xml:space="preserve"> models</w:t>
      </w:r>
      <w:r w:rsidR="00C37BFD">
        <w:t xml:space="preserve">, which to a very large extent has been discussed during the </w:t>
      </w:r>
      <w:r w:rsidR="003864B5">
        <w:t>[Post122][060][AIML] email discussion.</w:t>
      </w:r>
    </w:p>
    <w:p w14:paraId="534BA810" w14:textId="2DD62625" w:rsidR="00AE1BE6" w:rsidRDefault="00C133D6" w:rsidP="00851805">
      <w:pPr>
        <w:pStyle w:val="BodyText"/>
      </w:pPr>
      <w:r>
        <w:t>Related to NW</w:t>
      </w:r>
      <w:r w:rsidR="00833C88">
        <w:t>-</w:t>
      </w:r>
      <w:r w:rsidR="00833C88" w:rsidRPr="00D320B9">
        <w:t>side</w:t>
      </w:r>
      <w:r>
        <w:t xml:space="preserve"> models, w</w:t>
      </w:r>
      <w:r w:rsidR="001D1AB0">
        <w:t xml:space="preserve">e note that this discussion </w:t>
      </w:r>
      <w:r w:rsidR="00090763">
        <w:t xml:space="preserve">was already taken by RAN3 in their </w:t>
      </w:r>
      <w:r w:rsidR="009742D3">
        <w:t>study item</w:t>
      </w:r>
      <w:r w:rsidR="00090763">
        <w:t>. In the RAN3 TR 37.817</w:t>
      </w:r>
      <w:r w:rsidR="00532DDE">
        <w:t>,</w:t>
      </w:r>
      <w:r w:rsidR="006D2D20">
        <w:t xml:space="preserve"> it is assumed that</w:t>
      </w:r>
      <w:r w:rsidR="006E6A23">
        <w:t xml:space="preserve"> the training function of NW</w:t>
      </w:r>
      <w:r w:rsidR="00833C88">
        <w:t>-</w:t>
      </w:r>
      <w:r w:rsidR="00833C88" w:rsidRPr="00D320B9">
        <w:t>side</w:t>
      </w:r>
      <w:r w:rsidR="006E6A23">
        <w:t xml:space="preserve"> models can </w:t>
      </w:r>
      <w:r w:rsidR="00583A7D">
        <w:t xml:space="preserve">be </w:t>
      </w:r>
      <w:proofErr w:type="spellStart"/>
      <w:r w:rsidR="00583A7D">
        <w:t>gNB</w:t>
      </w:r>
      <w:proofErr w:type="spellEnd"/>
      <w:r w:rsidR="00583A7D">
        <w:t>-centric or OAM-centric</w:t>
      </w:r>
      <w:r w:rsidR="00532DDE">
        <w:t>.</w:t>
      </w:r>
      <w:r w:rsidR="000463EA">
        <w:t xml:space="preserve"> </w:t>
      </w:r>
    </w:p>
    <w:tbl>
      <w:tblPr>
        <w:tblStyle w:val="TableGrid"/>
        <w:tblW w:w="0" w:type="auto"/>
        <w:tblLook w:val="04A0" w:firstRow="1" w:lastRow="0" w:firstColumn="1" w:lastColumn="0" w:noHBand="0" w:noVBand="1"/>
      </w:tblPr>
      <w:tblGrid>
        <w:gridCol w:w="9629"/>
      </w:tblGrid>
      <w:tr w:rsidR="00624260" w14:paraId="1B12239A" w14:textId="77777777" w:rsidTr="00624260">
        <w:tc>
          <w:tcPr>
            <w:tcW w:w="9629" w:type="dxa"/>
          </w:tcPr>
          <w:p w14:paraId="10E6C1F0" w14:textId="77777777" w:rsidR="00624260" w:rsidRPr="00DA6870" w:rsidRDefault="00624260" w:rsidP="00851805">
            <w:pPr>
              <w:pStyle w:val="BodyText"/>
              <w:rPr>
                <w:b/>
                <w:bCs/>
                <w:u w:val="single"/>
              </w:rPr>
            </w:pPr>
            <w:r w:rsidRPr="00DA6870">
              <w:rPr>
                <w:b/>
                <w:bCs/>
                <w:u w:val="single"/>
              </w:rPr>
              <w:t xml:space="preserve">From RAN3 TR </w:t>
            </w:r>
            <w:r w:rsidR="00DA6870" w:rsidRPr="00DA6870">
              <w:rPr>
                <w:b/>
                <w:bCs/>
                <w:u w:val="single"/>
              </w:rPr>
              <w:t>37.817:</w:t>
            </w:r>
          </w:p>
          <w:p w14:paraId="7FAAD24D" w14:textId="77777777" w:rsidR="00DA6870" w:rsidRDefault="00DA6870" w:rsidP="00DA6870">
            <w:pPr>
              <w:pStyle w:val="Heading3"/>
              <w:rPr>
                <w:lang w:eastAsia="zh-CN"/>
              </w:rPr>
            </w:pPr>
            <w:bookmarkStart w:id="2" w:name="_Toc97840229"/>
            <w:bookmarkStart w:id="3" w:name="_Toc99489541"/>
            <w:bookmarkStart w:id="4" w:name="_Toc100153146"/>
            <w:bookmarkStart w:id="5" w:name="_Toc100154277"/>
            <w:bookmarkStart w:id="6" w:name="_Toc100154486"/>
            <w:bookmarkStart w:id="7" w:name="_Toc100154993"/>
            <w:r>
              <w:rPr>
                <w:lang w:eastAsia="zh-CN"/>
              </w:rPr>
              <w:t>5</w:t>
            </w:r>
            <w:r>
              <w:rPr>
                <w:rFonts w:hint="eastAsia"/>
                <w:lang w:eastAsia="zh-CN"/>
              </w:rPr>
              <w:t>.1.2</w:t>
            </w:r>
            <w:r>
              <w:rPr>
                <w:rFonts w:hint="eastAsia"/>
                <w:lang w:eastAsia="zh-CN"/>
              </w:rPr>
              <w:tab/>
              <w:t>Solution</w:t>
            </w:r>
            <w:r>
              <w:rPr>
                <w:lang w:eastAsia="zh-CN"/>
              </w:rPr>
              <w:t xml:space="preserve">s and </w:t>
            </w:r>
            <w:r w:rsidRPr="001E776C">
              <w:rPr>
                <w:lang w:eastAsia="zh-CN"/>
              </w:rPr>
              <w:t>standard impact</w:t>
            </w:r>
            <w:r>
              <w:rPr>
                <w:lang w:eastAsia="zh-CN"/>
              </w:rPr>
              <w:t>s</w:t>
            </w:r>
            <w:bookmarkEnd w:id="2"/>
            <w:bookmarkEnd w:id="3"/>
            <w:bookmarkEnd w:id="4"/>
            <w:bookmarkEnd w:id="5"/>
            <w:bookmarkEnd w:id="6"/>
            <w:bookmarkEnd w:id="7"/>
          </w:p>
          <w:p w14:paraId="5752C410" w14:textId="77777777" w:rsidR="00DA6870" w:rsidRDefault="00DA6870" w:rsidP="00DA6870">
            <w:pPr>
              <w:pStyle w:val="Heading4"/>
              <w:rPr>
                <w:lang w:eastAsia="zh-CN"/>
              </w:rPr>
            </w:pPr>
            <w:bookmarkStart w:id="8" w:name="_Toc97840230"/>
            <w:bookmarkStart w:id="9" w:name="_Toc99489542"/>
            <w:bookmarkStart w:id="10" w:name="_Toc100153147"/>
            <w:bookmarkStart w:id="11" w:name="_Toc100154278"/>
            <w:bookmarkStart w:id="12" w:name="_Toc100154487"/>
            <w:bookmarkStart w:id="13" w:name="_Toc100154994"/>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8"/>
            <w:bookmarkEnd w:id="9"/>
            <w:bookmarkEnd w:id="10"/>
            <w:bookmarkEnd w:id="11"/>
            <w:bookmarkEnd w:id="12"/>
            <w:bookmarkEnd w:id="13"/>
          </w:p>
          <w:p w14:paraId="1D388FD4" w14:textId="77777777" w:rsidR="00DA6870" w:rsidRPr="001C7083" w:rsidRDefault="00DA6870" w:rsidP="00DA6870">
            <w:pPr>
              <w:rPr>
                <w:iCs/>
                <w:color w:val="000000"/>
                <w:lang w:eastAsia="zh-CN"/>
              </w:rPr>
            </w:pPr>
            <w:r w:rsidRPr="001C7083">
              <w:rPr>
                <w:iCs/>
                <w:color w:val="000000"/>
                <w:lang w:eastAsia="zh-CN"/>
              </w:rPr>
              <w:t xml:space="preserve">The following solutions can be considered for supporting AI/ML-based </w:t>
            </w:r>
            <w:r w:rsidRPr="001C7083">
              <w:rPr>
                <w:rFonts w:eastAsia="Malgun Gothic" w:hint="eastAsia"/>
                <w:iCs/>
                <w:color w:val="000000"/>
                <w:lang w:eastAsia="zh-CN"/>
              </w:rPr>
              <w:t>network</w:t>
            </w:r>
            <w:r w:rsidRPr="001C7083">
              <w:rPr>
                <w:rFonts w:eastAsia="Malgun Gothic"/>
                <w:iCs/>
                <w:color w:val="000000"/>
                <w:lang w:eastAsia="zh-CN"/>
              </w:rPr>
              <w:t xml:space="preserve"> energy saving</w:t>
            </w:r>
            <w:r w:rsidRPr="001C7083">
              <w:rPr>
                <w:iCs/>
                <w:color w:val="000000"/>
                <w:lang w:eastAsia="zh-CN"/>
              </w:rPr>
              <w:t>:</w:t>
            </w:r>
          </w:p>
          <w:p w14:paraId="1DF26EB7" w14:textId="77777777" w:rsidR="00DA6870" w:rsidRPr="00C0192C" w:rsidRDefault="00DA6870" w:rsidP="00DA6870">
            <w:pPr>
              <w:pStyle w:val="B1"/>
            </w:pPr>
            <w:r>
              <w:t>-</w:t>
            </w:r>
            <w:r>
              <w:tab/>
            </w:r>
            <w:r w:rsidRPr="00C0192C">
              <w:t>AI/ML Model Training is located in the OAM and AI/ML Model Inference is located in the gNB.</w:t>
            </w:r>
          </w:p>
          <w:p w14:paraId="788E2CE2" w14:textId="77777777" w:rsidR="00DA6870" w:rsidRPr="00C0192C" w:rsidRDefault="00DA6870" w:rsidP="00DA6870">
            <w:pPr>
              <w:pStyle w:val="B1"/>
            </w:pPr>
            <w:r>
              <w:t>-</w:t>
            </w:r>
            <w:r>
              <w:tab/>
            </w:r>
            <w:r w:rsidRPr="00C0192C">
              <w:t>AI/ML Model Training and AI/ML Model Inference are both located in the gNB.</w:t>
            </w:r>
          </w:p>
          <w:p w14:paraId="015CC21B" w14:textId="77777777" w:rsidR="00DA6870" w:rsidRPr="007472EE" w:rsidRDefault="00DA6870" w:rsidP="00DA6870">
            <w:pPr>
              <w:pStyle w:val="NO"/>
              <w:rPr>
                <w:lang w:eastAsia="zh-CN"/>
              </w:rPr>
            </w:pPr>
            <w:r>
              <w:rPr>
                <w:lang w:eastAsia="zh-CN"/>
              </w:rPr>
              <w:t>Note: gNB is also allowed to continue model training based on AI/ML model trained in the OAM</w:t>
            </w:r>
          </w:p>
          <w:p w14:paraId="5E8F3DC7" w14:textId="77777777" w:rsidR="00DA6870" w:rsidRDefault="00DA6870" w:rsidP="00DA6870">
            <w:pPr>
              <w:rPr>
                <w:iCs/>
                <w:lang w:eastAsia="zh-CN"/>
              </w:rPr>
            </w:pPr>
            <w:r w:rsidRPr="003806CF">
              <w:rPr>
                <w:iCs/>
                <w:lang w:eastAsia="zh-CN"/>
              </w:rPr>
              <w:t>In case of CU-DU split architecture, the following solutions are possible:</w:t>
            </w:r>
          </w:p>
          <w:p w14:paraId="3841EF6F" w14:textId="77777777" w:rsidR="00DA6870" w:rsidRPr="00C0192C" w:rsidRDefault="00DA6870" w:rsidP="00DA6870">
            <w:pPr>
              <w:pStyle w:val="B1"/>
            </w:pPr>
            <w:r>
              <w:t>-</w:t>
            </w:r>
            <w:r>
              <w:tab/>
            </w:r>
            <w:r w:rsidRPr="00C0192C">
              <w:t xml:space="preserve">AI/ML Model Training is located in the OAM and AI/ML Model Inference is located in the gNB-CU. </w:t>
            </w:r>
          </w:p>
          <w:p w14:paraId="548B4918" w14:textId="77777777" w:rsidR="00DA6870" w:rsidRPr="00C0192C" w:rsidRDefault="00DA6870" w:rsidP="00DA6870">
            <w:pPr>
              <w:pStyle w:val="B1"/>
            </w:pPr>
            <w:r>
              <w:t>-</w:t>
            </w:r>
            <w:r>
              <w:tab/>
            </w:r>
            <w:r w:rsidRPr="00C0192C">
              <w:t>AI/ML Model Training and Model Inference are both located in the gNB-CU.</w:t>
            </w:r>
          </w:p>
          <w:p w14:paraId="3C6F7617" w14:textId="261F1148" w:rsidR="00DA6870" w:rsidRDefault="00DA6870" w:rsidP="00851805">
            <w:pPr>
              <w:pStyle w:val="BodyText"/>
            </w:pPr>
          </w:p>
        </w:tc>
      </w:tr>
    </w:tbl>
    <w:p w14:paraId="16897AF5" w14:textId="77777777" w:rsidR="00624260" w:rsidRDefault="00624260" w:rsidP="00851805">
      <w:pPr>
        <w:pStyle w:val="BodyText"/>
      </w:pPr>
    </w:p>
    <w:p w14:paraId="18AFB2F7" w14:textId="5E192201" w:rsidR="001D32A5" w:rsidRDefault="001D32A5" w:rsidP="005F541C">
      <w:pPr>
        <w:pStyle w:val="Observation"/>
      </w:pPr>
      <w:bookmarkStart w:id="14" w:name="_Toc142640916"/>
      <w:r>
        <w:t>In TR 37.817, RAN3 considers th</w:t>
      </w:r>
      <w:r w:rsidR="005F541C">
        <w:t xml:space="preserve">at the </w:t>
      </w:r>
      <w:r w:rsidRPr="00C0192C">
        <w:rPr>
          <w:lang w:eastAsia="zh-CN"/>
        </w:rPr>
        <w:t xml:space="preserve">AI/ML </w:t>
      </w:r>
      <w:r w:rsidR="005F541C">
        <w:rPr>
          <w:lang w:eastAsia="zh-CN"/>
        </w:rPr>
        <w:t>m</w:t>
      </w:r>
      <w:r w:rsidRPr="00C0192C">
        <w:rPr>
          <w:lang w:eastAsia="zh-CN"/>
        </w:rPr>
        <w:t xml:space="preserve">odel </w:t>
      </w:r>
      <w:r w:rsidR="005F541C">
        <w:rPr>
          <w:lang w:eastAsia="zh-CN"/>
        </w:rPr>
        <w:t>t</w:t>
      </w:r>
      <w:r w:rsidRPr="00C0192C">
        <w:rPr>
          <w:lang w:eastAsia="zh-CN"/>
        </w:rPr>
        <w:t xml:space="preserve">raining </w:t>
      </w:r>
      <w:r w:rsidR="005F541C">
        <w:rPr>
          <w:lang w:eastAsia="zh-CN"/>
        </w:rPr>
        <w:t>can be</w:t>
      </w:r>
      <w:r w:rsidRPr="00C0192C">
        <w:rPr>
          <w:lang w:eastAsia="zh-CN"/>
        </w:rPr>
        <w:t xml:space="preserve"> located in the OAM</w:t>
      </w:r>
      <w:r w:rsidR="005F541C">
        <w:rPr>
          <w:lang w:eastAsia="zh-CN"/>
        </w:rPr>
        <w:t xml:space="preserve"> or in the </w:t>
      </w:r>
      <w:proofErr w:type="spellStart"/>
      <w:r w:rsidR="005F541C">
        <w:rPr>
          <w:lang w:eastAsia="zh-CN"/>
        </w:rPr>
        <w:t>gNB</w:t>
      </w:r>
      <w:proofErr w:type="spellEnd"/>
      <w:r w:rsidR="005F541C">
        <w:rPr>
          <w:lang w:eastAsia="zh-CN"/>
        </w:rPr>
        <w:t>.</w:t>
      </w:r>
      <w:bookmarkEnd w:id="14"/>
    </w:p>
    <w:p w14:paraId="5DC25353" w14:textId="082013F3" w:rsidR="005501D9" w:rsidRDefault="005501D9" w:rsidP="005501D9">
      <w:pPr>
        <w:pStyle w:val="BodyText"/>
      </w:pPr>
      <w:r>
        <w:t>Given the scope of the Rel-18 RAN SI</w:t>
      </w:r>
      <w:r w:rsidR="00B00A4F">
        <w:t xml:space="preserve"> and </w:t>
      </w:r>
      <w:r w:rsidR="00196D49">
        <w:t>the above RAN3 assumptions</w:t>
      </w:r>
      <w:r>
        <w:t xml:space="preserve">, it seems straightforward to assume that the data collection for CSI/beam management should be at least RAN-centric, whereas for positioning the LMF can also be involved (as agreed by RAN1). </w:t>
      </w:r>
      <w:r w:rsidR="00414823">
        <w:t>Hence, RAN2 should evaluate the suitability of the existing data collection frameworks</w:t>
      </w:r>
      <w:r w:rsidR="00D8705C">
        <w:t xml:space="preserve"> (and</w:t>
      </w:r>
      <w:r w:rsidR="00414823">
        <w:t xml:space="preserve"> of any other </w:t>
      </w:r>
      <w:r w:rsidR="000024B5">
        <w:t xml:space="preserve">potentially </w:t>
      </w:r>
      <w:r w:rsidR="00414823">
        <w:t>new collection framework</w:t>
      </w:r>
      <w:r w:rsidR="000024B5">
        <w:t>)</w:t>
      </w:r>
      <w:r w:rsidR="00414823">
        <w:t xml:space="preserve">, when applied to a </w:t>
      </w:r>
      <w:proofErr w:type="spellStart"/>
      <w:r w:rsidR="00414823">
        <w:t>gNB</w:t>
      </w:r>
      <w:proofErr w:type="spellEnd"/>
      <w:r w:rsidR="00414823">
        <w:t>-centric data collection</w:t>
      </w:r>
      <w:r w:rsidR="000024B5">
        <w:t>.</w:t>
      </w:r>
      <w:r w:rsidR="005B55F0">
        <w:t xml:space="preserve"> </w:t>
      </w:r>
      <w:r w:rsidR="000024B5">
        <w:t>T</w:t>
      </w:r>
      <w:r>
        <w:t xml:space="preserve">he </w:t>
      </w:r>
      <w:proofErr w:type="spellStart"/>
      <w:r>
        <w:t>gNB</w:t>
      </w:r>
      <w:proofErr w:type="spellEnd"/>
      <w:r>
        <w:t xml:space="preserve">-centric data collection implies that the </w:t>
      </w:r>
      <w:proofErr w:type="spellStart"/>
      <w:r>
        <w:t>gNB</w:t>
      </w:r>
      <w:proofErr w:type="spellEnd"/>
      <w:r>
        <w:t xml:space="preserve"> initiates and terminates the data collection.</w:t>
      </w:r>
    </w:p>
    <w:p w14:paraId="19095A6A" w14:textId="1ACE3BA9" w:rsidR="00C045E6" w:rsidRDefault="005501D9" w:rsidP="005501D9">
      <w:pPr>
        <w:pStyle w:val="Proposal"/>
      </w:pPr>
      <w:bookmarkStart w:id="15" w:name="_Toc142643046"/>
      <w:r>
        <w:t>For training of NW</w:t>
      </w:r>
      <w:r w:rsidR="00833C88">
        <w:t>-</w:t>
      </w:r>
      <w:r w:rsidR="00833C88" w:rsidRPr="00D320B9">
        <w:t>side</w:t>
      </w:r>
      <w:r>
        <w:t xml:space="preserve"> models, RAN2 </w:t>
      </w:r>
      <w:r w:rsidR="00815DAD">
        <w:t>prioritizes discussion</w:t>
      </w:r>
      <w:r>
        <w:t xml:space="preserve"> </w:t>
      </w:r>
      <w:r w:rsidR="008A7F70">
        <w:t xml:space="preserve">on the suitability </w:t>
      </w:r>
      <w:r w:rsidR="00E24749">
        <w:t xml:space="preserve">of </w:t>
      </w:r>
      <w:r w:rsidR="008A7F70">
        <w:t>data collection frameworks for</w:t>
      </w:r>
      <w:r>
        <w:t xml:space="preserve"> </w:t>
      </w:r>
      <w:proofErr w:type="spellStart"/>
      <w:r>
        <w:t>gNB</w:t>
      </w:r>
      <w:proofErr w:type="spellEnd"/>
      <w:r>
        <w:t>-centric data collection</w:t>
      </w:r>
      <w:r w:rsidR="005D685F">
        <w:t>.</w:t>
      </w:r>
      <w:bookmarkEnd w:id="15"/>
      <w:r>
        <w:t xml:space="preserve"> </w:t>
      </w:r>
    </w:p>
    <w:p w14:paraId="030386F3" w14:textId="72E45513" w:rsidR="005501D9" w:rsidRDefault="00C045E6" w:rsidP="005501D9">
      <w:pPr>
        <w:pStyle w:val="Proposal"/>
      </w:pPr>
      <w:bookmarkStart w:id="16" w:name="_Toc142643047"/>
      <w:r>
        <w:t>For training of NW</w:t>
      </w:r>
      <w:r w:rsidR="00833C88">
        <w:t>-</w:t>
      </w:r>
      <w:r w:rsidR="00833C88" w:rsidRPr="00D320B9">
        <w:t>side</w:t>
      </w:r>
      <w:r>
        <w:t xml:space="preserve"> models, t</w:t>
      </w:r>
      <w:r w:rsidR="005501D9">
        <w:t xml:space="preserve">he </w:t>
      </w:r>
      <w:proofErr w:type="spellStart"/>
      <w:r w:rsidR="005501D9">
        <w:t>gNB</w:t>
      </w:r>
      <w:proofErr w:type="spellEnd"/>
      <w:r w:rsidR="005501D9">
        <w:t xml:space="preserve">-centric data collection implies that the </w:t>
      </w:r>
      <w:proofErr w:type="spellStart"/>
      <w:r w:rsidR="005501D9">
        <w:t>gNB</w:t>
      </w:r>
      <w:proofErr w:type="spellEnd"/>
      <w:r w:rsidR="005501D9">
        <w:t xml:space="preserve"> </w:t>
      </w:r>
      <w:r w:rsidR="005501D9" w:rsidRPr="00E07B62">
        <w:t>configure</w:t>
      </w:r>
      <w:r w:rsidR="005501D9">
        <w:t>s</w:t>
      </w:r>
      <w:r w:rsidR="005501D9" w:rsidRPr="00E07B62">
        <w:t xml:space="preserve"> the UE to transfer data</w:t>
      </w:r>
      <w:r w:rsidR="005501D9">
        <w:t xml:space="preserve"> and </w:t>
      </w:r>
      <w:r w:rsidR="005501D9" w:rsidRPr="00E07B62">
        <w:t>initiate</w:t>
      </w:r>
      <w:r w:rsidR="005501D9">
        <w:t>s/terminates</w:t>
      </w:r>
      <w:r w:rsidR="005501D9" w:rsidRPr="00E07B62">
        <w:t xml:space="preserve"> a data transferring session</w:t>
      </w:r>
      <w:r w:rsidR="005501D9">
        <w:t>.</w:t>
      </w:r>
      <w:bookmarkEnd w:id="16"/>
    </w:p>
    <w:p w14:paraId="395CCC0E" w14:textId="5DBE4385" w:rsidR="005501D9" w:rsidRDefault="005501D9" w:rsidP="005501D9">
      <w:pPr>
        <w:pStyle w:val="BodyText"/>
      </w:pPr>
      <w:r>
        <w:t xml:space="preserve">Related to an OAM-centric data collection, it is not clear yet in RAN1, whereas there are use cases for physical layer parameters collection at the OAM. </w:t>
      </w:r>
      <w:r w:rsidR="00EB51DF">
        <w:t>And most important, RAN1 should evaluate the feasibility of an OAM-centric data collection</w:t>
      </w:r>
      <w:r w:rsidR="00FE5F2F">
        <w:t>, and what are the parameters that the OAM needs from the UE to build a NW-side model.</w:t>
      </w:r>
      <w:r w:rsidR="00EB51DF">
        <w:t xml:space="preserve"> </w:t>
      </w:r>
      <w:r w:rsidR="00FA5FC9">
        <w:t>T</w:t>
      </w:r>
      <w:r>
        <w:t>he suitability of data collection frameworks for the case of OAM-centric data collection</w:t>
      </w:r>
      <w:r w:rsidR="00FA5FC9">
        <w:t xml:space="preserve"> should be studied by RAN2, once RAN1 has progressed on that</w:t>
      </w:r>
      <w:r>
        <w:t>.</w:t>
      </w:r>
    </w:p>
    <w:p w14:paraId="457E3D7B" w14:textId="1552FEF7" w:rsidR="00C045E6" w:rsidRDefault="006F59A7" w:rsidP="00931E54">
      <w:pPr>
        <w:pStyle w:val="Proposal"/>
      </w:pPr>
      <w:bookmarkStart w:id="17" w:name="_Toc142643048"/>
      <w:r>
        <w:t>For training of NW</w:t>
      </w:r>
      <w:r w:rsidR="00833C88">
        <w:t>-</w:t>
      </w:r>
      <w:r w:rsidR="00833C88" w:rsidRPr="00D320B9">
        <w:t>side</w:t>
      </w:r>
      <w:r>
        <w:t xml:space="preserve"> models, RAN2 </w:t>
      </w:r>
      <w:r w:rsidR="00F20369">
        <w:t>evaluate</w:t>
      </w:r>
      <w:r w:rsidR="00931E54">
        <w:t>s</w:t>
      </w:r>
      <w:r w:rsidR="00F20369">
        <w:t xml:space="preserve"> the suitability </w:t>
      </w:r>
      <w:r w:rsidR="00931E54">
        <w:t>of data collection frameworks for</w:t>
      </w:r>
      <w:r>
        <w:t xml:space="preserve"> OAM-centric data collection</w:t>
      </w:r>
      <w:r w:rsidR="00BB2561">
        <w:t xml:space="preserve">, </w:t>
      </w:r>
      <w:r w:rsidR="00067E61">
        <w:t>once</w:t>
      </w:r>
      <w:r w:rsidR="00BB2561">
        <w:t xml:space="preserve"> RAN1 </w:t>
      </w:r>
      <w:r w:rsidR="00067E61">
        <w:t xml:space="preserve">has </w:t>
      </w:r>
      <w:r w:rsidR="00C16A4C">
        <w:t>assesse</w:t>
      </w:r>
      <w:r w:rsidR="00067E61">
        <w:t>d</w:t>
      </w:r>
      <w:r w:rsidR="00C16A4C">
        <w:t xml:space="preserve"> the feasibility OAM-centric data collection.</w:t>
      </w:r>
      <w:bookmarkEnd w:id="17"/>
    </w:p>
    <w:p w14:paraId="7E34B623" w14:textId="47F6531E" w:rsidR="006F59A7" w:rsidRDefault="00C045E6" w:rsidP="007D7ED4">
      <w:pPr>
        <w:pStyle w:val="Proposal"/>
      </w:pPr>
      <w:bookmarkStart w:id="18" w:name="_Toc142643049"/>
      <w:r>
        <w:t>For training of NW</w:t>
      </w:r>
      <w:r w:rsidR="00833C88">
        <w:t>-</w:t>
      </w:r>
      <w:r w:rsidR="00833C88" w:rsidRPr="00D320B9">
        <w:t>side</w:t>
      </w:r>
      <w:r>
        <w:t xml:space="preserve"> models, </w:t>
      </w:r>
      <w:r w:rsidR="00573A38">
        <w:t>the OAM-centric data collection implies that the OAM initiates and terminates the data collection</w:t>
      </w:r>
      <w:r w:rsidR="00E84805">
        <w:t xml:space="preserve"> from the UE</w:t>
      </w:r>
      <w:r w:rsidR="00E04F81">
        <w:t>.</w:t>
      </w:r>
      <w:bookmarkEnd w:id="18"/>
    </w:p>
    <w:p w14:paraId="1BCF5296" w14:textId="4B906EB4" w:rsidR="00851805" w:rsidRDefault="0073319B" w:rsidP="00851805">
      <w:pPr>
        <w:pStyle w:val="BodyText"/>
      </w:pPr>
      <w:r>
        <w:lastRenderedPageBreak/>
        <w:t>For OAM-centric data collection</w:t>
      </w:r>
      <w:r w:rsidR="00851805">
        <w:t xml:space="preserve">, </w:t>
      </w:r>
      <w:r w:rsidR="007D2F65">
        <w:t>we could draw</w:t>
      </w:r>
      <w:r w:rsidR="00C952C5">
        <w:t xml:space="preserve"> inspiration </w:t>
      </w:r>
      <w:r w:rsidR="007D2F65">
        <w:t>from</w:t>
      </w:r>
      <w:r w:rsidR="00851805">
        <w:t xml:space="preserve"> logged MDT</w:t>
      </w:r>
      <w:r w:rsidR="007D2F65">
        <w:t>’s fra</w:t>
      </w:r>
      <w:r w:rsidR="002C3F1A">
        <w:t>mework</w:t>
      </w:r>
      <w:r w:rsidR="00851805">
        <w:t xml:space="preserve"> for NW</w:t>
      </w:r>
      <w:r w:rsidR="00833C88">
        <w:t>-</w:t>
      </w:r>
      <w:r w:rsidR="00833C88" w:rsidRPr="00D320B9">
        <w:t>side</w:t>
      </w:r>
      <w:r w:rsidR="00851805">
        <w:t xml:space="preserve"> model training</w:t>
      </w:r>
      <w:r w:rsidR="00832EE2">
        <w:t>, given that training may imply large of amount of data to be transmitted with n</w:t>
      </w:r>
      <w:r w:rsidR="00062833">
        <w:t xml:space="preserve">o critical delay requirements. </w:t>
      </w:r>
      <w:r w:rsidR="00851805">
        <w:t>In fact, in logged MDT, the UE logs certain measurements while being in RRC_IDLE/INACTIVE and it temporarily stores those measurements until the network requests them. Since a great amount of data may have been collected by the UE, the UE can also signal to the network whether there are additional RRC segments available containing MDT info. This way the network can keep requesting the UE to transmit the remaining information.</w:t>
      </w:r>
    </w:p>
    <w:p w14:paraId="7BA00766" w14:textId="77777777" w:rsidR="00851805" w:rsidRDefault="00851805" w:rsidP="00851805">
      <w:pPr>
        <w:pStyle w:val="BodyText"/>
      </w:pPr>
      <w:r>
        <w:t>For the other legacy signalling frameworks currently specified, only a single measurement/sample can be collected and transferred to the network, which may be a limitation for model training.</w:t>
      </w:r>
      <w:r>
        <w:tab/>
      </w:r>
    </w:p>
    <w:p w14:paraId="4548DC20" w14:textId="15446BD7" w:rsidR="00851805" w:rsidRDefault="00851805" w:rsidP="00851805">
      <w:pPr>
        <w:pStyle w:val="BodyText"/>
      </w:pPr>
      <w:r>
        <w:t>However, logged MDT can only be enabled for idle/inactive UEs, which is obviously a limitation for the AIML use case</w:t>
      </w:r>
      <w:r w:rsidR="002C3F1A">
        <w:t>s</w:t>
      </w:r>
      <w:r>
        <w:t xml:space="preserve">. Additionally, logged MDT (as well as immediate MDT) is not terminated at the </w:t>
      </w:r>
      <w:proofErr w:type="spellStart"/>
      <w:r>
        <w:t>gNB</w:t>
      </w:r>
      <w:proofErr w:type="spellEnd"/>
      <w:r>
        <w:t>. But the configuration is controlled by the OAM and subject to CN signalling</w:t>
      </w:r>
      <w:r w:rsidR="002C3F1A">
        <w:t>. S</w:t>
      </w:r>
      <w:r>
        <w:t>o</w:t>
      </w:r>
      <w:r w:rsidR="002C3F1A">
        <w:t>,</w:t>
      </w:r>
      <w:r>
        <w:t xml:space="preserve"> the collected data is terminated in the </w:t>
      </w:r>
      <w:r w:rsidRPr="00521AEC">
        <w:t>T</w:t>
      </w:r>
      <w:r>
        <w:t xml:space="preserve">race </w:t>
      </w:r>
      <w:r w:rsidRPr="00521AEC">
        <w:t>C</w:t>
      </w:r>
      <w:r>
        <w:t>ollection Entity (TCE).</w:t>
      </w:r>
      <w:r w:rsidR="00002975">
        <w:t xml:space="preserve"> Hence, that there might be more suitable </w:t>
      </w:r>
      <w:r w:rsidR="00F932F8">
        <w:t xml:space="preserve">for the OAM-centric </w:t>
      </w:r>
      <w:r w:rsidR="00B321AF">
        <w:t>data collection</w:t>
      </w:r>
      <w:r w:rsidR="00DB4409">
        <w:t xml:space="preserve">, rather than for the </w:t>
      </w:r>
      <w:proofErr w:type="spellStart"/>
      <w:r w:rsidR="00DB4409">
        <w:t>gNB</w:t>
      </w:r>
      <w:proofErr w:type="spellEnd"/>
      <w:r w:rsidR="00DB4409">
        <w:t xml:space="preserve">-centric </w:t>
      </w:r>
      <w:r w:rsidR="00B321AF">
        <w:t>data collection</w:t>
      </w:r>
      <w:r w:rsidR="00DB4409">
        <w:t>.</w:t>
      </w:r>
    </w:p>
    <w:p w14:paraId="5CAD89C6" w14:textId="6A1F86BB" w:rsidR="005A47C6" w:rsidRDefault="003D4F53" w:rsidP="005A47C6">
      <w:pPr>
        <w:pStyle w:val="Proposal"/>
      </w:pPr>
      <w:bookmarkStart w:id="19" w:name="_Toc142643050"/>
      <w:r>
        <w:t xml:space="preserve">If feasibility of OAM-centric data collection </w:t>
      </w:r>
      <w:r w:rsidR="00AD7AE7">
        <w:t>for</w:t>
      </w:r>
      <w:r w:rsidR="0024278C">
        <w:t xml:space="preserve"> NW</w:t>
      </w:r>
      <w:r w:rsidR="00833C88">
        <w:t>-</w:t>
      </w:r>
      <w:r w:rsidR="00833C88" w:rsidRPr="00D320B9">
        <w:t>side</w:t>
      </w:r>
      <w:r w:rsidR="0024278C">
        <w:t xml:space="preserve"> mode</w:t>
      </w:r>
      <w:r w:rsidR="008E1913">
        <w:t>l</w:t>
      </w:r>
      <w:r w:rsidR="009F45F4">
        <w:t>s</w:t>
      </w:r>
      <w:r>
        <w:t xml:space="preserve"> is assessed by RAN1</w:t>
      </w:r>
      <w:r w:rsidR="008E1913">
        <w:t xml:space="preserve">, </w:t>
      </w:r>
      <w:r w:rsidR="00DC6DEA">
        <w:t xml:space="preserve">RAN2 considers </w:t>
      </w:r>
      <w:r w:rsidR="0024278C">
        <w:t>enhanc</w:t>
      </w:r>
      <w:r w:rsidR="008E1913">
        <w:t>ements</w:t>
      </w:r>
      <w:r w:rsidR="0024278C">
        <w:t xml:space="preserve"> </w:t>
      </w:r>
      <w:r w:rsidR="008E1913">
        <w:t xml:space="preserve">to </w:t>
      </w:r>
      <w:r w:rsidR="00DC6DEA">
        <w:t>logged MDT</w:t>
      </w:r>
      <w:r w:rsidR="001335B5">
        <w:t>,</w:t>
      </w:r>
      <w:r w:rsidR="002B3897">
        <w:t xml:space="preserve"> such as logging measurements in RRC Connected mod</w:t>
      </w:r>
      <w:r w:rsidR="006C1FE1">
        <w:t>e.</w:t>
      </w:r>
      <w:bookmarkEnd w:id="19"/>
    </w:p>
    <w:p w14:paraId="62D75D36" w14:textId="4FFFCA7F" w:rsidR="00851805" w:rsidRDefault="008805A0" w:rsidP="00851805">
      <w:pPr>
        <w:pStyle w:val="BodyText"/>
      </w:pPr>
      <w:r>
        <w:t>On the other hand</w:t>
      </w:r>
      <w:r w:rsidR="00851805">
        <w:t xml:space="preserve">, for </w:t>
      </w:r>
      <w:proofErr w:type="spellStart"/>
      <w:r>
        <w:t>gNB</w:t>
      </w:r>
      <w:proofErr w:type="spellEnd"/>
      <w:r>
        <w:t xml:space="preserve">-centric </w:t>
      </w:r>
      <w:r w:rsidR="00703AD0">
        <w:t xml:space="preserve">data collection </w:t>
      </w:r>
      <w:r w:rsidR="00BD78C9">
        <w:t>for</w:t>
      </w:r>
      <w:r w:rsidR="00703AD0">
        <w:t xml:space="preserve"> </w:t>
      </w:r>
      <w:r>
        <w:t>NW</w:t>
      </w:r>
      <w:r w:rsidR="00833C88">
        <w:t>-</w:t>
      </w:r>
      <w:r w:rsidR="00833C88" w:rsidRPr="00D320B9">
        <w:t>side</w:t>
      </w:r>
      <w:r>
        <w:t xml:space="preserve"> model, </w:t>
      </w:r>
      <w:r w:rsidR="00AA4546">
        <w:t xml:space="preserve">for </w:t>
      </w:r>
      <w:r w:rsidR="00851805">
        <w:t>the reasons mentioned above, some parts of MDT can be reused for the purposes of NW</w:t>
      </w:r>
      <w:r w:rsidR="00833C88">
        <w:t>-</w:t>
      </w:r>
      <w:r w:rsidR="00833C88" w:rsidRPr="00D320B9">
        <w:t>side</w:t>
      </w:r>
      <w:r w:rsidR="00851805">
        <w:t xml:space="preserve"> model training, but the framework is not </w:t>
      </w:r>
      <w:r w:rsidR="00B83846">
        <w:t>suitable</w:t>
      </w:r>
      <w:r w:rsidR="00851805">
        <w:t xml:space="preserve"> for our scope.</w:t>
      </w:r>
    </w:p>
    <w:p w14:paraId="7B1FD62D" w14:textId="0E6CA7C6" w:rsidR="00851805" w:rsidRDefault="00D93555" w:rsidP="00851805">
      <w:pPr>
        <w:pStyle w:val="Observation"/>
      </w:pPr>
      <w:bookmarkStart w:id="20" w:name="_Toc131599096"/>
      <w:bookmarkStart w:id="21" w:name="_Toc142640917"/>
      <w:r>
        <w:t xml:space="preserve">For </w:t>
      </w:r>
      <w:proofErr w:type="spellStart"/>
      <w:r>
        <w:t>gNB</w:t>
      </w:r>
      <w:proofErr w:type="spellEnd"/>
      <w:r>
        <w:t xml:space="preserve">-centric </w:t>
      </w:r>
      <w:r w:rsidR="00AE5E14">
        <w:t xml:space="preserve">data collection </w:t>
      </w:r>
      <w:r w:rsidR="00C403CE">
        <w:t>for</w:t>
      </w:r>
      <w:r w:rsidR="00AE5E14">
        <w:t xml:space="preserve"> </w:t>
      </w:r>
      <w:r>
        <w:t>NW</w:t>
      </w:r>
      <w:r w:rsidR="00833C88">
        <w:t>-</w:t>
      </w:r>
      <w:r w:rsidR="00833C88" w:rsidRPr="00D320B9">
        <w:t>side</w:t>
      </w:r>
      <w:r>
        <w:t xml:space="preserve"> model, t</w:t>
      </w:r>
      <w:r w:rsidR="00851805">
        <w:t>he data collection framework may incorporate some parts of logged MDT. However, MDT as such has certain properties that make it not suitable.</w:t>
      </w:r>
      <w:bookmarkEnd w:id="20"/>
      <w:bookmarkEnd w:id="21"/>
    </w:p>
    <w:p w14:paraId="36765F49" w14:textId="666BD281" w:rsidR="00851805" w:rsidRDefault="00126A99" w:rsidP="00851805">
      <w:pPr>
        <w:pStyle w:val="Proposal"/>
      </w:pPr>
      <w:bookmarkStart w:id="22" w:name="_Toc131599106"/>
      <w:bookmarkStart w:id="23" w:name="_Toc142643051"/>
      <w:r>
        <w:t xml:space="preserve">For </w:t>
      </w:r>
      <w:proofErr w:type="spellStart"/>
      <w:r>
        <w:t>gNB</w:t>
      </w:r>
      <w:proofErr w:type="spellEnd"/>
      <w:r>
        <w:t>-centric</w:t>
      </w:r>
      <w:r w:rsidR="0000277F">
        <w:t xml:space="preserve"> </w:t>
      </w:r>
      <w:r w:rsidR="008F315F">
        <w:t>data collection</w:t>
      </w:r>
      <w:r w:rsidR="0000277F">
        <w:t xml:space="preserve"> </w:t>
      </w:r>
      <w:r w:rsidR="00C403CE">
        <w:t>for</w:t>
      </w:r>
      <w:r>
        <w:t xml:space="preserve"> NW</w:t>
      </w:r>
      <w:r w:rsidR="00833C88">
        <w:t>-</w:t>
      </w:r>
      <w:r w:rsidR="00833C88" w:rsidRPr="00D320B9">
        <w:t>side</w:t>
      </w:r>
      <w:r>
        <w:t xml:space="preserve"> model</w:t>
      </w:r>
      <w:r w:rsidR="00851805">
        <w:t xml:space="preserve">, RAN2 to study a </w:t>
      </w:r>
      <w:r w:rsidR="00384662">
        <w:t xml:space="preserve">L3 </w:t>
      </w:r>
      <w:r w:rsidR="00851805">
        <w:t xml:space="preserve">data collection framework that allows the UE to measure and store a set of measurements (details up to RAN1) to be reported to the </w:t>
      </w:r>
      <w:proofErr w:type="spellStart"/>
      <w:r w:rsidR="00851805">
        <w:t>gNB</w:t>
      </w:r>
      <w:proofErr w:type="spellEnd"/>
      <w:r w:rsidR="00851805">
        <w:t xml:space="preserve"> upon request.</w:t>
      </w:r>
      <w:bookmarkEnd w:id="22"/>
      <w:bookmarkEnd w:id="23"/>
    </w:p>
    <w:p w14:paraId="763232E8" w14:textId="1F007701" w:rsidR="00851805" w:rsidRPr="00B971CB" w:rsidRDefault="00851805" w:rsidP="00C478A8">
      <w:pPr>
        <w:pStyle w:val="Heading3"/>
      </w:pPr>
      <w:r w:rsidRPr="00B971CB">
        <w:t>2.</w:t>
      </w:r>
      <w:r w:rsidR="00C478A8">
        <w:t>1</w:t>
      </w:r>
      <w:r>
        <w:t>.2</w:t>
      </w:r>
      <w:r>
        <w:tab/>
        <w:t>P</w:t>
      </w:r>
      <w:r w:rsidRPr="00B971CB">
        <w:t>erformance monitoring</w:t>
      </w:r>
    </w:p>
    <w:p w14:paraId="7ED7E1BE" w14:textId="09ACABEA" w:rsidR="00851805" w:rsidRDefault="00851805" w:rsidP="00851805">
      <w:pPr>
        <w:pStyle w:val="BodyText"/>
        <w:rPr>
          <w:rFonts w:cs="Arial"/>
          <w:lang w:val="en-AU"/>
        </w:rPr>
      </w:pPr>
      <w:r>
        <w:t>For performance monitoring of NW</w:t>
      </w:r>
      <w:r w:rsidR="00833C88">
        <w:t>-</w:t>
      </w:r>
      <w:r w:rsidR="00833C88" w:rsidRPr="00D320B9">
        <w:t>side</w:t>
      </w:r>
      <w:r>
        <w:t xml:space="preserve"> models, the NW can in principle use off-the-shelf techniques to evaluate the performance of its own models, e.g., legacy L1/L3 measurements. For example, </w:t>
      </w:r>
      <w:r>
        <w:rPr>
          <w:rFonts w:cs="Arial"/>
          <w:lang w:val="en-US"/>
        </w:rPr>
        <w:t>the</w:t>
      </w:r>
      <w:r>
        <w:rPr>
          <w:rFonts w:cs="Arial"/>
          <w:lang w:val="en-AU"/>
        </w:rPr>
        <w:t xml:space="preserve"> network can monitor system/link level performance (e.g., throughput, number of beam failures, number of beam switches) of the users whose transmissions/receptions are scheduled/configured based on the NW</w:t>
      </w:r>
      <w:r w:rsidR="00833C88">
        <w:t>-</w:t>
      </w:r>
      <w:r w:rsidR="00833C88" w:rsidRPr="00D320B9">
        <w:t>side</w:t>
      </w:r>
      <w:r>
        <w:rPr>
          <w:rFonts w:cs="Arial"/>
          <w:lang w:val="en-AU"/>
        </w:rPr>
        <w:t xml:space="preserve"> beam prediction model output. By comparing the system/link level performance statistics to a target system KPI(s), the NW can detect or predict potential system/link performance degradation, thereby, triggering LCM actions like fallback and, subsequently, perform error cause analysis if needed.</w:t>
      </w:r>
    </w:p>
    <w:p w14:paraId="3AFC32C8" w14:textId="3A154136" w:rsidR="00851805" w:rsidRDefault="00851805" w:rsidP="00851805">
      <w:pPr>
        <w:pStyle w:val="BodyText"/>
        <w:rPr>
          <w:rFonts w:cs="Arial"/>
          <w:lang w:val="en-AU"/>
        </w:rPr>
      </w:pPr>
      <w:r>
        <w:rPr>
          <w:rFonts w:cs="Arial"/>
          <w:lang w:val="en-AU"/>
        </w:rPr>
        <w:t>Whether there is the need to improve the current L1 reporting or L3 RRC measurements for the sake of NW</w:t>
      </w:r>
      <w:r w:rsidR="00833C88">
        <w:t>-</w:t>
      </w:r>
      <w:r w:rsidR="00833C88" w:rsidRPr="00D320B9">
        <w:t>side</w:t>
      </w:r>
      <w:r>
        <w:rPr>
          <w:rFonts w:cs="Arial"/>
          <w:lang w:val="en-AU"/>
        </w:rPr>
        <w:t xml:space="preserve"> model monitoring should be however studied </w:t>
      </w:r>
      <w:r w:rsidR="00430952">
        <w:rPr>
          <w:rFonts w:cs="Arial"/>
          <w:lang w:val="en-AU"/>
        </w:rPr>
        <w:t xml:space="preserve">in </w:t>
      </w:r>
      <w:r>
        <w:rPr>
          <w:rFonts w:cs="Arial"/>
          <w:lang w:val="en-AU"/>
        </w:rPr>
        <w:t>RAN1. For example, the UE may need to be configured to collect data within a time window and then report measurement samples in the measured period, i.e., somewhat like the data collection mechanism for training, but with a different time scale.</w:t>
      </w:r>
    </w:p>
    <w:p w14:paraId="2085CB51" w14:textId="162B9055" w:rsidR="00851805" w:rsidRDefault="00851805" w:rsidP="00851805">
      <w:pPr>
        <w:pStyle w:val="Proposal"/>
      </w:pPr>
      <w:bookmarkStart w:id="24" w:name="_Toc142643052"/>
      <w:r>
        <w:t>For NW</w:t>
      </w:r>
      <w:r w:rsidR="00833C88">
        <w:t>-</w:t>
      </w:r>
      <w:r w:rsidR="00833C88" w:rsidRPr="00D320B9">
        <w:t>side</w:t>
      </w:r>
      <w:r>
        <w:t xml:space="preserve"> performance monitoring, RAN2 waits </w:t>
      </w:r>
      <w:r w:rsidR="00E3397C">
        <w:t xml:space="preserve">for </w:t>
      </w:r>
      <w:r>
        <w:t xml:space="preserve">RAN1 </w:t>
      </w:r>
      <w:r w:rsidR="00E3397C">
        <w:t>input</w:t>
      </w:r>
      <w:r>
        <w:t xml:space="preserve"> on the need to enhance the L1 reporting configuration or the L3 RRC measurement configuration and reporting.</w:t>
      </w:r>
      <w:bookmarkEnd w:id="24"/>
    </w:p>
    <w:p w14:paraId="47D59B4C" w14:textId="3AB5DDA8" w:rsidR="00851805" w:rsidRPr="00D85E86" w:rsidRDefault="00851805" w:rsidP="00946760">
      <w:pPr>
        <w:pStyle w:val="Heading2"/>
      </w:pPr>
      <w:r>
        <w:t>2.2</w:t>
      </w:r>
      <w:r>
        <w:tab/>
      </w:r>
      <w:r w:rsidRPr="00D85E86">
        <w:t>UE</w:t>
      </w:r>
      <w:r w:rsidR="00833C88">
        <w:t>-</w:t>
      </w:r>
      <w:r w:rsidR="00833C88" w:rsidRPr="00D320B9">
        <w:t>side</w:t>
      </w:r>
      <w:r>
        <w:t xml:space="preserve"> models</w:t>
      </w:r>
    </w:p>
    <w:p w14:paraId="68B38747" w14:textId="7D4068CA" w:rsidR="00851805" w:rsidRPr="00D85E86" w:rsidRDefault="00851805" w:rsidP="002D4DB1">
      <w:pPr>
        <w:pStyle w:val="Heading3"/>
      </w:pPr>
      <w:r>
        <w:t>2.</w:t>
      </w:r>
      <w:r w:rsidR="002D4DB1">
        <w:t>2</w:t>
      </w:r>
      <w:r>
        <w:t>.1</w:t>
      </w:r>
      <w:r>
        <w:tab/>
        <w:t>T</w:t>
      </w:r>
      <w:r w:rsidRPr="00D85E86">
        <w:t>raining</w:t>
      </w:r>
    </w:p>
    <w:p w14:paraId="61DAAC22" w14:textId="76F9B493" w:rsidR="00CB31A0" w:rsidRDefault="00141783" w:rsidP="00851805">
      <w:pPr>
        <w:pStyle w:val="BodyText"/>
      </w:pPr>
      <w:r>
        <w:t xml:space="preserve">Similar to the </w:t>
      </w:r>
      <w:r w:rsidR="00CB31A0">
        <w:t>discussion for the NW</w:t>
      </w:r>
      <w:r w:rsidR="00833C88">
        <w:t>-</w:t>
      </w:r>
      <w:r w:rsidR="00833C88" w:rsidRPr="00D320B9">
        <w:t>side</w:t>
      </w:r>
      <w:r w:rsidR="00CB31A0">
        <w:t xml:space="preserve"> models, also for the UE</w:t>
      </w:r>
      <w:r w:rsidR="00833C88">
        <w:t>-</w:t>
      </w:r>
      <w:r w:rsidR="00833C88" w:rsidRPr="00D320B9">
        <w:t>side</w:t>
      </w:r>
      <w:r w:rsidR="00CB31A0">
        <w:t xml:space="preserve"> models, the suitability of the legacy frameworks</w:t>
      </w:r>
      <w:r w:rsidR="00FB0F15">
        <w:t xml:space="preserve">, </w:t>
      </w:r>
      <w:r w:rsidR="00CB31A0">
        <w:t xml:space="preserve">or </w:t>
      </w:r>
      <w:r w:rsidR="000675F6">
        <w:t xml:space="preserve">any </w:t>
      </w:r>
      <w:r w:rsidR="00CB31A0">
        <w:t xml:space="preserve">new </w:t>
      </w:r>
      <w:r w:rsidR="000675F6">
        <w:t xml:space="preserve">potential </w:t>
      </w:r>
      <w:r w:rsidR="00CB31A0">
        <w:t>framework very much depend on the location of the training function.</w:t>
      </w:r>
    </w:p>
    <w:p w14:paraId="005D3FC7" w14:textId="5D65D91A" w:rsidR="00B302BF" w:rsidRDefault="008D334B" w:rsidP="00A27940">
      <w:pPr>
        <w:pStyle w:val="BodyText"/>
      </w:pPr>
      <w:r>
        <w:t>In our view, for UE</w:t>
      </w:r>
      <w:r w:rsidR="00833C88">
        <w:t>-</w:t>
      </w:r>
      <w:r w:rsidR="00833C88" w:rsidRPr="00D320B9">
        <w:t>side</w:t>
      </w:r>
      <w:r w:rsidR="00F23507">
        <w:t xml:space="preserve"> models, the</w:t>
      </w:r>
      <w:r w:rsidR="00A44F8E">
        <w:t xml:space="preserve"> natural assumption seems that the </w:t>
      </w:r>
      <w:r w:rsidR="00F23507">
        <w:t>AIML training function</w:t>
      </w:r>
      <w:r w:rsidR="00A44F8E">
        <w:t xml:space="preserve"> resides </w:t>
      </w:r>
      <w:r w:rsidR="00896D89">
        <w:t xml:space="preserve">in the UE and/or in an </w:t>
      </w:r>
      <w:r w:rsidR="000248D7">
        <w:t xml:space="preserve">UE-controlled </w:t>
      </w:r>
      <w:r w:rsidR="00896D89">
        <w:t>OTT</w:t>
      </w:r>
      <w:r w:rsidR="00F23507">
        <w:t xml:space="preserve"> </w:t>
      </w:r>
      <w:r w:rsidR="00896D89">
        <w:t>server.</w:t>
      </w:r>
      <w:r w:rsidR="00616C25">
        <w:t xml:space="preserve"> </w:t>
      </w:r>
      <w:r w:rsidR="00B302BF">
        <w:t xml:space="preserve">For </w:t>
      </w:r>
      <w:r w:rsidR="00410136">
        <w:t>UE</w:t>
      </w:r>
      <w:r w:rsidR="00833C88">
        <w:t>-</w:t>
      </w:r>
      <w:r w:rsidR="00833C88" w:rsidRPr="00D320B9">
        <w:t>side</w:t>
      </w:r>
      <w:r w:rsidR="00410136">
        <w:t xml:space="preserve"> model </w:t>
      </w:r>
      <w:r w:rsidR="00B302BF">
        <w:t xml:space="preserve">training, RAN2 to consider </w:t>
      </w:r>
      <w:r w:rsidR="00885A18">
        <w:t>UE</w:t>
      </w:r>
      <w:r w:rsidR="00B302BF">
        <w:t xml:space="preserve">-centric </w:t>
      </w:r>
      <w:r w:rsidR="000C290F">
        <w:t>data collection</w:t>
      </w:r>
      <w:r w:rsidR="00885A18">
        <w:t xml:space="preserve"> performed</w:t>
      </w:r>
      <w:r w:rsidR="005F743D">
        <w:t xml:space="preserve"> OTT</w:t>
      </w:r>
      <w:r w:rsidR="00116B4E">
        <w:t>, i.e. no impact</w:t>
      </w:r>
      <w:r w:rsidR="00C82057">
        <w:t xml:space="preserve"> </w:t>
      </w:r>
      <w:r w:rsidR="008C026D">
        <w:t>on RAN2 protocols</w:t>
      </w:r>
      <w:r w:rsidR="006B2277">
        <w:t>.</w:t>
      </w:r>
    </w:p>
    <w:p w14:paraId="69512FB5" w14:textId="1A7843D0" w:rsidR="00851805" w:rsidRDefault="006D2143" w:rsidP="00851805">
      <w:pPr>
        <w:pStyle w:val="BodyText"/>
      </w:pPr>
      <w:r>
        <w:t xml:space="preserve">About </w:t>
      </w:r>
      <w:r w:rsidR="00A20438">
        <w:t>data to be collected</w:t>
      </w:r>
      <w:r w:rsidR="00851805">
        <w:t xml:space="preserve">, </w:t>
      </w:r>
      <w:r w:rsidR="00D477EE">
        <w:t xml:space="preserve">it is not clear yet </w:t>
      </w:r>
      <w:r w:rsidR="000A736A">
        <w:t xml:space="preserve">which </w:t>
      </w:r>
      <w:r w:rsidR="00851805">
        <w:t xml:space="preserve">information the UE needs to acquire to train </w:t>
      </w:r>
      <w:r w:rsidR="00D477EE">
        <w:t>UE</w:t>
      </w:r>
      <w:r w:rsidR="00833C88">
        <w:t>-</w:t>
      </w:r>
      <w:r w:rsidR="00833C88" w:rsidRPr="00D320B9">
        <w:t>side</w:t>
      </w:r>
      <w:r w:rsidR="00D477EE">
        <w:t xml:space="preserve"> </w:t>
      </w:r>
      <w:r w:rsidR="00851805">
        <w:t xml:space="preserve">models. </w:t>
      </w:r>
      <w:r w:rsidR="0020160C">
        <w:t>That should be discussed, if needed, by RAN1, but that can also be left to the UE implementation</w:t>
      </w:r>
      <w:r w:rsidR="00652D2F">
        <w:t xml:space="preserve"> and no specification work might be needed. </w:t>
      </w:r>
      <w:r w:rsidR="00B96A92">
        <w:br/>
      </w:r>
      <w:r w:rsidR="00652D2F">
        <w:lastRenderedPageBreak/>
        <w:t>However,</w:t>
      </w:r>
      <w:r w:rsidR="008B604B">
        <w:t xml:space="preserve"> irrespective of whether the specific data that the UE should collect for</w:t>
      </w:r>
      <w:r w:rsidR="00812F91">
        <w:t xml:space="preserve"> UE</w:t>
      </w:r>
      <w:r w:rsidR="00833C88">
        <w:t>-</w:t>
      </w:r>
      <w:r w:rsidR="00833C88" w:rsidRPr="00D320B9">
        <w:t>side</w:t>
      </w:r>
      <w:r w:rsidR="00812F91">
        <w:t xml:space="preserve"> training are specified or not, </w:t>
      </w:r>
      <w:r w:rsidR="00652D2F">
        <w:t>t</w:t>
      </w:r>
      <w:r w:rsidR="00851805">
        <w:t xml:space="preserve">he UE may need </w:t>
      </w:r>
      <w:r w:rsidR="0092206A">
        <w:t xml:space="preserve">at some point </w:t>
      </w:r>
      <w:r w:rsidR="00851805">
        <w:t xml:space="preserve">certain </w:t>
      </w:r>
      <w:r w:rsidR="0092206A">
        <w:t xml:space="preserve">specific </w:t>
      </w:r>
      <w:r w:rsidR="00851805">
        <w:t>radio configurations</w:t>
      </w:r>
      <w:r w:rsidR="000D7736">
        <w:t>,</w:t>
      </w:r>
      <w:r w:rsidR="00851805">
        <w:t xml:space="preserve"> </w:t>
      </w:r>
      <w:r w:rsidR="0092206A">
        <w:t>in order</w:t>
      </w:r>
      <w:r w:rsidR="00851805">
        <w:t xml:space="preserve"> to collect data to further train the model. At a first glance, </w:t>
      </w:r>
      <w:r w:rsidR="00812F91">
        <w:t>this task could be accomplished by</w:t>
      </w:r>
      <w:r w:rsidR="00851805">
        <w:t xml:space="preserve"> the UE Assistance Information framework</w:t>
      </w:r>
      <w:r w:rsidR="00374685">
        <w:t xml:space="preserve"> (UAI)</w:t>
      </w:r>
      <w:r w:rsidR="00112D9D">
        <w:t xml:space="preserve">, but the suitability of UAI </w:t>
      </w:r>
      <w:r w:rsidR="00837666">
        <w:t>also depends on RAN1 progress</w:t>
      </w:r>
      <w:r w:rsidR="00851805">
        <w:t>.</w:t>
      </w:r>
    </w:p>
    <w:p w14:paraId="1EF23120" w14:textId="0D7FFDD9" w:rsidR="00851805" w:rsidRDefault="00851805" w:rsidP="00851805">
      <w:pPr>
        <w:pStyle w:val="Proposal"/>
      </w:pPr>
      <w:bookmarkStart w:id="25" w:name="_Toc131599107"/>
      <w:bookmarkStart w:id="26" w:name="_Toc142643053"/>
      <w:r>
        <w:t>For UE</w:t>
      </w:r>
      <w:r w:rsidR="00833C88">
        <w:t>-</w:t>
      </w:r>
      <w:r w:rsidR="00833C88" w:rsidRPr="00D320B9">
        <w:t>side</w:t>
      </w:r>
      <w:r>
        <w:t xml:space="preserve"> model training, RAN2 </w:t>
      </w:r>
      <w:r w:rsidR="00287D2B">
        <w:t>considers (</w:t>
      </w:r>
      <w:r w:rsidR="00A05A97">
        <w:t>subject to</w:t>
      </w:r>
      <w:r w:rsidR="00287D2B">
        <w:t xml:space="preserve"> RAN1 progress), </w:t>
      </w:r>
      <w:r w:rsidR="001B516A">
        <w:t xml:space="preserve">the UE Assistance Information framework </w:t>
      </w:r>
      <w:r w:rsidR="00363E9E">
        <w:t xml:space="preserve">as a tool </w:t>
      </w:r>
      <w:r w:rsidR="003B0E1C">
        <w:t xml:space="preserve">for the UE to request </w:t>
      </w:r>
      <w:r w:rsidR="00414988">
        <w:t xml:space="preserve">aid </w:t>
      </w:r>
      <w:r w:rsidR="003B0E1C">
        <w:t xml:space="preserve">from the network in </w:t>
      </w:r>
      <w:r w:rsidR="00FE4A69">
        <w:t>training at the UE</w:t>
      </w:r>
      <w:bookmarkEnd w:id="25"/>
      <w:r>
        <w:t>.</w:t>
      </w:r>
      <w:bookmarkEnd w:id="26"/>
    </w:p>
    <w:p w14:paraId="4C5366ED" w14:textId="1FF89A10" w:rsidR="00851805" w:rsidRPr="00D320B9" w:rsidRDefault="00851805" w:rsidP="00FC5AA0">
      <w:pPr>
        <w:pStyle w:val="Heading3"/>
      </w:pPr>
      <w:r>
        <w:t>2.2.2</w:t>
      </w:r>
      <w:r>
        <w:tab/>
        <w:t>Performance monitoring</w:t>
      </w:r>
    </w:p>
    <w:p w14:paraId="58F5026D" w14:textId="28ACB3A3" w:rsidR="00770CD7" w:rsidRDefault="00E569A7" w:rsidP="00770CD7">
      <w:pPr>
        <w:pStyle w:val="BodyText"/>
      </w:pPr>
      <w:r>
        <w:t>F</w:t>
      </w:r>
      <w:r w:rsidR="001B6B0D">
        <w:t>or UE</w:t>
      </w:r>
      <w:r w:rsidR="00833C88">
        <w:t>-</w:t>
      </w:r>
      <w:r w:rsidR="00833C88" w:rsidRPr="00D320B9">
        <w:t>side</w:t>
      </w:r>
      <w:r w:rsidR="001B6B0D">
        <w:t xml:space="preserve"> performance monitoring at the UE,</w:t>
      </w:r>
      <w:r w:rsidR="00851805">
        <w:t xml:space="preserve"> </w:t>
      </w:r>
      <w:r w:rsidR="00770CD7">
        <w:t>the</w:t>
      </w:r>
      <w:r w:rsidR="00770CD7">
        <w:rPr>
          <w:rFonts w:cs="Arial"/>
          <w:lang w:val="en-US"/>
        </w:rPr>
        <w:t xml:space="preserve"> UE</w:t>
      </w:r>
      <w:r w:rsidR="00770CD7">
        <w:rPr>
          <w:rFonts w:cs="Arial"/>
          <w:lang w:val="en-AU"/>
        </w:rPr>
        <w:t xml:space="preserve"> can independently monitor its own system/link level performance and it can detect or predict potential performance degradation.</w:t>
      </w:r>
      <w:r w:rsidR="00391254">
        <w:rPr>
          <w:rFonts w:cs="Arial"/>
          <w:lang w:val="en-AU"/>
        </w:rPr>
        <w:t xml:space="preserve"> So RAN2 does not need to focus on data collection </w:t>
      </w:r>
      <w:r w:rsidR="008F4840">
        <w:rPr>
          <w:rFonts w:cs="Arial"/>
          <w:lang w:val="en-AU"/>
        </w:rPr>
        <w:t xml:space="preserve">for </w:t>
      </w:r>
      <w:r w:rsidR="008F4840">
        <w:t>UE</w:t>
      </w:r>
      <w:r w:rsidR="00833C88">
        <w:t>-</w:t>
      </w:r>
      <w:r w:rsidR="00833C88" w:rsidRPr="00D320B9">
        <w:t>side</w:t>
      </w:r>
      <w:r w:rsidR="008F4840">
        <w:t xml:space="preserve"> performance monitoring at the UE.</w:t>
      </w:r>
    </w:p>
    <w:p w14:paraId="4A6AF87F" w14:textId="46FEF229" w:rsidR="00770CD7" w:rsidRDefault="00770CD7" w:rsidP="00770CD7">
      <w:pPr>
        <w:pStyle w:val="BodyText"/>
      </w:pPr>
      <w:r>
        <w:t>However, the UE may also report measurements/events that were performed as a consequence of a certain model being used at the UE. Although the network</w:t>
      </w:r>
      <w:r w:rsidRPr="00EF6FE1">
        <w:t xml:space="preserve"> </w:t>
      </w:r>
      <w:r>
        <w:t xml:space="preserve">may not know which model the </w:t>
      </w:r>
      <w:r w:rsidR="008206DB">
        <w:t>UE</w:t>
      </w:r>
      <w:r>
        <w:t xml:space="preserve"> is using, the UE can report to the network information on whether a certain AIML functionality is working properly</w:t>
      </w:r>
      <w:r w:rsidR="00564149">
        <w:t>.</w:t>
      </w:r>
    </w:p>
    <w:p w14:paraId="1BCB32EF" w14:textId="530AE72D" w:rsidR="00C522D0" w:rsidRDefault="00C522D0" w:rsidP="006A7CB3">
      <w:pPr>
        <w:pStyle w:val="BodyText"/>
      </w:pPr>
      <w:r>
        <w:t>To this end, the following agreement was taken in RAN2#122:</w:t>
      </w:r>
    </w:p>
    <w:tbl>
      <w:tblPr>
        <w:tblStyle w:val="TableGrid"/>
        <w:tblW w:w="0" w:type="auto"/>
        <w:tblLook w:val="04A0" w:firstRow="1" w:lastRow="0" w:firstColumn="1" w:lastColumn="0" w:noHBand="0" w:noVBand="1"/>
      </w:tblPr>
      <w:tblGrid>
        <w:gridCol w:w="9629"/>
      </w:tblGrid>
      <w:tr w:rsidR="000E152C" w14:paraId="1DAB1BDE" w14:textId="77777777" w:rsidTr="000E152C">
        <w:tc>
          <w:tcPr>
            <w:tcW w:w="9629" w:type="dxa"/>
          </w:tcPr>
          <w:p w14:paraId="0F4483AD" w14:textId="77777777" w:rsidR="000E152C" w:rsidRDefault="000E152C" w:rsidP="000E152C">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53090FAC" w14:textId="471BC43F" w:rsidR="000E152C" w:rsidRPr="000E152C" w:rsidRDefault="000E152C" w:rsidP="000E152C">
            <w:pPr>
              <w:pStyle w:val="Doc-text2"/>
              <w:rPr>
                <w:lang w:val="de-DE" w:eastAsia="en-US"/>
              </w:rPr>
            </w:pPr>
          </w:p>
        </w:tc>
      </w:tr>
    </w:tbl>
    <w:p w14:paraId="7432AAB7" w14:textId="77777777" w:rsidR="00C522D0" w:rsidRDefault="00C522D0" w:rsidP="006A7CB3">
      <w:pPr>
        <w:pStyle w:val="BodyText"/>
      </w:pPr>
    </w:p>
    <w:p w14:paraId="4A289F8D" w14:textId="23E943F7" w:rsidR="006A7CB3" w:rsidRDefault="00851805" w:rsidP="006A7CB3">
      <w:pPr>
        <w:pStyle w:val="BodyText"/>
      </w:pPr>
      <w:r w:rsidRPr="00341C64">
        <w:t xml:space="preserve">The UE may </w:t>
      </w:r>
      <w:r w:rsidR="00A626FC">
        <w:t>report</w:t>
      </w:r>
      <w:r w:rsidRPr="00341C64">
        <w:t xml:space="preserve"> performance </w:t>
      </w:r>
      <w:r w:rsidR="00274B73">
        <w:t>results</w:t>
      </w:r>
      <w:r w:rsidRPr="00341C64">
        <w:t xml:space="preserve"> </w:t>
      </w:r>
      <w:r w:rsidR="00E30BC5">
        <w:t>of</w:t>
      </w:r>
      <w:r w:rsidRPr="00341C64">
        <w:t xml:space="preserve"> model monitoring to the NW, </w:t>
      </w:r>
      <w:r w:rsidR="00E30BC5">
        <w:t xml:space="preserve">e.g. accuracy performances, </w:t>
      </w:r>
      <w:r w:rsidR="00A626FC">
        <w:t>a</w:t>
      </w:r>
      <w:r w:rsidR="00E30BC5">
        <w:t>s well as</w:t>
      </w:r>
      <w:r>
        <w:t xml:space="preserve"> the (non)applicability of a certain AIML functionality.</w:t>
      </w:r>
      <w:r w:rsidR="00043ABA">
        <w:t xml:space="preserve"> </w:t>
      </w:r>
      <w:r w:rsidR="00043ABA">
        <w:br/>
        <w:t>For this, a mixture of a layer-1, or layer-2, or layer-3 mechanism might be needed. Which specific layer to adopt may depend on the type of information, and on the amount of information to be reported</w:t>
      </w:r>
      <w:r w:rsidR="00AB32E9">
        <w:t>, as well as on RAN1 discussion</w:t>
      </w:r>
      <w:r w:rsidR="00043ABA">
        <w:t>.</w:t>
      </w:r>
    </w:p>
    <w:p w14:paraId="137DAFAE" w14:textId="7A3CDF47" w:rsidR="006A7CB3" w:rsidRDefault="006A7CB3" w:rsidP="006A7CB3">
      <w:pPr>
        <w:pStyle w:val="Proposal"/>
      </w:pPr>
      <w:bookmarkStart w:id="27" w:name="_Toc131599108"/>
      <w:bookmarkStart w:id="28" w:name="_Toc142643054"/>
      <w:r>
        <w:t>For UE</w:t>
      </w:r>
      <w:r w:rsidR="00833C88">
        <w:t>-</w:t>
      </w:r>
      <w:r w:rsidR="00833C88" w:rsidRPr="00D320B9">
        <w:t>side</w:t>
      </w:r>
      <w:r>
        <w:t xml:space="preserve"> performance monitoring at </w:t>
      </w:r>
      <w:r w:rsidR="003258C6">
        <w:t xml:space="preserve">NW </w:t>
      </w:r>
      <w:r>
        <w:t xml:space="preserve">side, RAN2 to </w:t>
      </w:r>
      <w:r w:rsidR="00931300">
        <w:t>focus on impacts in</w:t>
      </w:r>
      <w:r>
        <w:t xml:space="preserve"> layer-2, or layer-3 (possibly including some layer-1 related measurements) for reporting of the outcome of performance monitoring</w:t>
      </w:r>
      <w:r w:rsidR="002F5689">
        <w:t xml:space="preserve"> </w:t>
      </w:r>
      <w:r>
        <w:t xml:space="preserve">(e.g. performance </w:t>
      </w:r>
      <w:r w:rsidR="002F5689">
        <w:t>monitoring results</w:t>
      </w:r>
      <w:r>
        <w:t>, (non)applicability of AIML functionality).</w:t>
      </w:r>
      <w:bookmarkEnd w:id="27"/>
      <w:r w:rsidR="006D4D73">
        <w:t xml:space="preserve"> Layer-1 details are left to RAN1.</w:t>
      </w:r>
      <w:bookmarkEnd w:id="28"/>
    </w:p>
    <w:p w14:paraId="10542D9B" w14:textId="39644B17" w:rsidR="00851805" w:rsidRPr="00F3337F" w:rsidRDefault="00851805" w:rsidP="00851805">
      <w:pPr>
        <w:pStyle w:val="Heading3"/>
        <w:rPr>
          <w:rFonts w:eastAsiaTheme="minorEastAsia"/>
        </w:rPr>
      </w:pPr>
      <w:bookmarkStart w:id="29" w:name="_Ref134542747"/>
      <w:r w:rsidRPr="00FE3E1F">
        <w:rPr>
          <w:rFonts w:eastAsiaTheme="minorEastAsia"/>
        </w:rPr>
        <w:t>2.</w:t>
      </w:r>
      <w:r w:rsidR="00C10061">
        <w:rPr>
          <w:rFonts w:eastAsiaTheme="minorEastAsia"/>
        </w:rPr>
        <w:t>2</w:t>
      </w:r>
      <w:r w:rsidRPr="00FE3E1F">
        <w:rPr>
          <w:rFonts w:eastAsiaTheme="minorEastAsia"/>
        </w:rPr>
        <w:t>.</w:t>
      </w:r>
      <w:r w:rsidR="006B734A">
        <w:rPr>
          <w:rFonts w:eastAsiaTheme="minorEastAsia"/>
        </w:rPr>
        <w:t>3</w:t>
      </w:r>
      <w:r w:rsidRPr="00F3337F">
        <w:rPr>
          <w:rFonts w:eastAsiaTheme="minorEastAsia"/>
        </w:rPr>
        <w:tab/>
      </w:r>
      <w:r>
        <w:rPr>
          <w:lang w:eastAsia="ko-KR"/>
        </w:rPr>
        <w:t>Data Collection from the UE Application</w:t>
      </w:r>
      <w:bookmarkEnd w:id="29"/>
    </w:p>
    <w:p w14:paraId="4C8CC6DC" w14:textId="53FD2B69" w:rsidR="00304F60" w:rsidRDefault="00851805" w:rsidP="00851805">
      <w:pPr>
        <w:pStyle w:val="BodyText"/>
        <w:rPr>
          <w:rFonts w:eastAsia="Times New Roman"/>
        </w:rPr>
      </w:pPr>
      <w:r w:rsidRPr="007B5E9E">
        <w:rPr>
          <w:rFonts w:eastAsia="Times New Roman"/>
        </w:rPr>
        <w:t xml:space="preserve">During </w:t>
      </w:r>
      <w:r w:rsidR="00304F60">
        <w:rPr>
          <w:rFonts w:eastAsia="Times New Roman"/>
        </w:rPr>
        <w:t>the last RAN2 meetings</w:t>
      </w:r>
      <w:r w:rsidRPr="007B5E9E">
        <w:rPr>
          <w:rFonts w:eastAsia="Times New Roman"/>
        </w:rPr>
        <w:t xml:space="preserve">, it was </w:t>
      </w:r>
      <w:r w:rsidR="00304F60">
        <w:rPr>
          <w:rFonts w:eastAsia="Times New Roman"/>
        </w:rPr>
        <w:t xml:space="preserve">discussed at length </w:t>
      </w:r>
      <w:r w:rsidR="00653056">
        <w:rPr>
          <w:rFonts w:eastAsia="Times New Roman"/>
        </w:rPr>
        <w:t>in RAN2 whether data collection protocols available outside RA</w:t>
      </w:r>
      <w:r w:rsidR="00544AB3">
        <w:rPr>
          <w:rFonts w:eastAsia="Times New Roman"/>
        </w:rPr>
        <w:t>N could be used for the purpose of UE-side model training.</w:t>
      </w:r>
      <w:r w:rsidR="004B163E">
        <w:rPr>
          <w:rFonts w:eastAsia="Times New Roman"/>
        </w:rPr>
        <w:t xml:space="preserve"> In particular</w:t>
      </w:r>
      <w:r w:rsidR="009759EB">
        <w:rPr>
          <w:rFonts w:eastAsia="Times New Roman"/>
        </w:rPr>
        <w:t>,</w:t>
      </w:r>
      <w:r w:rsidR="004B163E">
        <w:rPr>
          <w:rFonts w:eastAsia="Times New Roman"/>
        </w:rPr>
        <w:t xml:space="preserve"> EVEX was considered to be a viable candidate. </w:t>
      </w:r>
      <w:r w:rsidR="00CD40B1">
        <w:rPr>
          <w:rFonts w:eastAsia="Times New Roman"/>
        </w:rPr>
        <w:t xml:space="preserve">From our point of view the need of any enhancements </w:t>
      </w:r>
      <w:r w:rsidR="00807F99">
        <w:rPr>
          <w:rFonts w:eastAsia="Times New Roman"/>
        </w:rPr>
        <w:t>to protocols defined by other WGs should not be dis</w:t>
      </w:r>
      <w:r w:rsidR="00FA7BC6">
        <w:rPr>
          <w:rFonts w:eastAsia="Times New Roman"/>
        </w:rPr>
        <w:t>cussed in RAN2</w:t>
      </w:r>
      <w:r w:rsidR="0022776F">
        <w:rPr>
          <w:rFonts w:eastAsia="Times New Roman"/>
        </w:rPr>
        <w:t>.</w:t>
      </w:r>
    </w:p>
    <w:p w14:paraId="39764EA2" w14:textId="3C9DC219" w:rsidR="00851805" w:rsidRDefault="0022776F" w:rsidP="005B4632">
      <w:pPr>
        <w:pStyle w:val="Proposal"/>
      </w:pPr>
      <w:bookmarkStart w:id="30" w:name="_Toc142643055"/>
      <w:r>
        <w:t>The need of</w:t>
      </w:r>
      <w:r w:rsidR="00534120">
        <w:t xml:space="preserve"> any enhancements to</w:t>
      </w:r>
      <w:r>
        <w:t xml:space="preserve"> </w:t>
      </w:r>
      <w:r w:rsidR="00534120">
        <w:t xml:space="preserve">non-RAN </w:t>
      </w:r>
      <w:r>
        <w:t xml:space="preserve">data collection frameworks </w:t>
      </w:r>
      <w:r w:rsidR="007E5385">
        <w:t>for U</w:t>
      </w:r>
      <w:r w:rsidR="00534120">
        <w:t>E</w:t>
      </w:r>
      <w:r w:rsidR="00833C88">
        <w:t>-</w:t>
      </w:r>
      <w:r w:rsidR="00833C88" w:rsidRPr="00D320B9">
        <w:t>side</w:t>
      </w:r>
      <w:r w:rsidR="00534120">
        <w:t xml:space="preserve"> models should be studied in</w:t>
      </w:r>
      <w:r w:rsidR="00F6522A">
        <w:t xml:space="preserve"> SA WGs.</w:t>
      </w:r>
      <w:bookmarkEnd w:id="30"/>
    </w:p>
    <w:p w14:paraId="27A22D70" w14:textId="5EC4FA07" w:rsidR="005D7FBB" w:rsidRDefault="005D7FBB" w:rsidP="005D7FBB">
      <w:pPr>
        <w:pStyle w:val="Heading2"/>
      </w:pPr>
      <w:r>
        <w:t>2.</w:t>
      </w:r>
      <w:r w:rsidR="00636AFF">
        <w:t>3</w:t>
      </w:r>
      <w:r w:rsidR="003A7E9F">
        <w:tab/>
        <w:t>Summary</w:t>
      </w:r>
    </w:p>
    <w:p w14:paraId="12C655F1" w14:textId="77777777" w:rsidR="005D7FBB" w:rsidRPr="00383325" w:rsidRDefault="005D7FBB" w:rsidP="005D7FBB">
      <w:pPr>
        <w:rPr>
          <w:rFonts w:ascii="Arial" w:hAnsi="Arial" w:cs="Arial"/>
        </w:rPr>
      </w:pPr>
      <w:r w:rsidRPr="00383325">
        <w:rPr>
          <w:rFonts w:ascii="Arial" w:hAnsi="Arial" w:cs="Arial"/>
        </w:rPr>
        <w:t>The table in the Annex summarises the suitability of the various existing legacy frameworks, taking into account the side</w:t>
      </w:r>
      <w:r>
        <w:rPr>
          <w:rFonts w:ascii="Arial" w:hAnsi="Arial" w:cs="Arial"/>
        </w:rPr>
        <w:t>d</w:t>
      </w:r>
      <w:r w:rsidRPr="00383325">
        <w:rPr>
          <w:rFonts w:ascii="Arial" w:hAnsi="Arial" w:cs="Arial"/>
        </w:rPr>
        <w:t>ness of the model, and the entity terminating/initiating the data collection.</w:t>
      </w:r>
    </w:p>
    <w:p w14:paraId="0AB369BB" w14:textId="234567CA" w:rsidR="00851805" w:rsidRDefault="00445F64" w:rsidP="003A7E9F">
      <w:pPr>
        <w:pStyle w:val="Proposal"/>
      </w:pPr>
      <w:bookmarkStart w:id="31" w:name="_Toc142643056"/>
      <w:r>
        <w:t xml:space="preserve">For CSI/beam management use cases, </w:t>
      </w:r>
      <w:r w:rsidR="005D7FBB">
        <w:t xml:space="preserve">RAN2 to agree </w:t>
      </w:r>
      <w:r w:rsidR="00520E74">
        <w:t>to</w:t>
      </w:r>
      <w:r w:rsidR="005D7FBB">
        <w:t xml:space="preserve"> </w:t>
      </w:r>
      <w:r w:rsidR="004670CF">
        <w:fldChar w:fldCharType="begin"/>
      </w:r>
      <w:r w:rsidR="004670CF">
        <w:instrText xml:space="preserve"> REF _Ref142557461 \h </w:instrText>
      </w:r>
      <w:r w:rsidR="004670CF">
        <w:fldChar w:fldCharType="separate"/>
      </w:r>
      <w:r w:rsidR="004670CF">
        <w:t xml:space="preserve">Table </w:t>
      </w:r>
      <w:r w:rsidR="004670CF">
        <w:rPr>
          <w:noProof/>
        </w:rPr>
        <w:t>1</w:t>
      </w:r>
      <w:r w:rsidR="004670CF">
        <w:fldChar w:fldCharType="end"/>
      </w:r>
      <w:r w:rsidR="004670CF">
        <w:t xml:space="preserve"> </w:t>
      </w:r>
      <w:r w:rsidR="005D7FBB">
        <w:t xml:space="preserve">in Annex </w:t>
      </w:r>
      <w:r w:rsidR="00956FFD">
        <w:t>A</w:t>
      </w:r>
      <w:r w:rsidR="009A2AEA">
        <w:t xml:space="preserve"> </w:t>
      </w:r>
      <w:r w:rsidR="005D7FBB">
        <w:t xml:space="preserve">which maps LCM functions to the various existing data collection frameworks </w:t>
      </w:r>
      <w:r w:rsidR="000B4DAD">
        <w:rPr>
          <w:rFonts w:cs="Arial"/>
        </w:rPr>
        <w:t>considering;</w:t>
      </w:r>
      <w:r w:rsidR="005D7FBB" w:rsidRPr="00383325">
        <w:rPr>
          <w:rFonts w:cs="Arial"/>
        </w:rPr>
        <w:t xml:space="preserve"> the sidedness of the model, and the entity terminating/initiating the data collection</w:t>
      </w:r>
      <w:r w:rsidR="005D7FBB">
        <w:rPr>
          <w:rFonts w:cs="Arial"/>
        </w:rPr>
        <w:t>.</w:t>
      </w:r>
      <w:bookmarkEnd w:id="31"/>
      <w:r w:rsidR="00851805">
        <w:t xml:space="preserve"> </w:t>
      </w:r>
    </w:p>
    <w:p w14:paraId="1FEBEC59" w14:textId="77777777" w:rsidR="00851805" w:rsidRPr="00CE0424" w:rsidRDefault="00851805" w:rsidP="00851805">
      <w:pPr>
        <w:pStyle w:val="Heading1"/>
      </w:pPr>
      <w:bookmarkStart w:id="32" w:name="_Toc109400796"/>
      <w:bookmarkStart w:id="33" w:name="_Toc109400797"/>
      <w:bookmarkStart w:id="34" w:name="_Toc109400798"/>
      <w:bookmarkStart w:id="35" w:name="_Toc109400799"/>
      <w:bookmarkStart w:id="36" w:name="_Toc109400800"/>
      <w:bookmarkStart w:id="37" w:name="_Toc109400801"/>
      <w:bookmarkStart w:id="38" w:name="_Toc109400802"/>
      <w:bookmarkStart w:id="39" w:name="_Toc109400803"/>
      <w:bookmarkStart w:id="40" w:name="_Toc109400804"/>
      <w:bookmarkStart w:id="41" w:name="_Toc109400805"/>
      <w:bookmarkStart w:id="42" w:name="_Toc109400806"/>
      <w:bookmarkStart w:id="43" w:name="_Toc109400807"/>
      <w:bookmarkStart w:id="44" w:name="_Toc109400808"/>
      <w:bookmarkStart w:id="45" w:name="_Toc109400809"/>
      <w:bookmarkStart w:id="46" w:name="_Toc109400810"/>
      <w:bookmarkStart w:id="47" w:name="_Toc109400811"/>
      <w:bookmarkStart w:id="48" w:name="_Toc109400812"/>
      <w:bookmarkStart w:id="49" w:name="_Toc109400813"/>
      <w:bookmarkStart w:id="50" w:name="_Toc109400814"/>
      <w:bookmarkStart w:id="51" w:name="_Toc109400815"/>
      <w:bookmarkStart w:id="52" w:name="_Toc109400816"/>
      <w:bookmarkStart w:id="53" w:name="_Toc109400817"/>
      <w:bookmarkStart w:id="54" w:name="_Toc109400818"/>
      <w:bookmarkStart w:id="55" w:name="_Ref13461290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3</w:t>
      </w:r>
      <w:r>
        <w:tab/>
      </w:r>
      <w:r w:rsidRPr="00CE0424">
        <w:t>Conclusion</w:t>
      </w:r>
      <w:bookmarkEnd w:id="55"/>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72742F8F" w14:textId="2DA17A8D" w:rsidR="00567D7E" w:rsidRDefault="00851805">
      <w:pPr>
        <w:pStyle w:val="TableofFigures"/>
        <w:tabs>
          <w:tab w:val="right" w:leader="dot" w:pos="9629"/>
        </w:tabs>
        <w:rPr>
          <w:rFonts w:asciiTheme="minorHAnsi" w:eastAsiaTheme="minorEastAsia" w:hAnsiTheme="minorHAnsi" w:cstheme="minorBidi"/>
          <w:b w:val="0"/>
          <w:noProof/>
          <w:sz w:val="22"/>
          <w:szCs w:val="22"/>
          <w:lang w:val="en-SE" w:eastAsia="en-SE"/>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42640916" w:history="1">
        <w:r w:rsidR="00567D7E" w:rsidRPr="0064799C">
          <w:rPr>
            <w:rStyle w:val="Hyperlink"/>
            <w:noProof/>
          </w:rPr>
          <w:t>Observation 1</w:t>
        </w:r>
        <w:r w:rsidR="00567D7E">
          <w:rPr>
            <w:rFonts w:asciiTheme="minorHAnsi" w:eastAsiaTheme="minorEastAsia" w:hAnsiTheme="minorHAnsi" w:cstheme="minorBidi"/>
            <w:b w:val="0"/>
            <w:noProof/>
            <w:sz w:val="22"/>
            <w:szCs w:val="22"/>
            <w:lang w:val="en-SE" w:eastAsia="en-SE"/>
          </w:rPr>
          <w:tab/>
        </w:r>
        <w:r w:rsidR="00567D7E" w:rsidRPr="0064799C">
          <w:rPr>
            <w:rStyle w:val="Hyperlink"/>
            <w:noProof/>
          </w:rPr>
          <w:t>In TR 37.817, RAN3 considers that the AI/ML model training can be located in the OAM or in the gNB.</w:t>
        </w:r>
      </w:hyperlink>
    </w:p>
    <w:p w14:paraId="6E517742" w14:textId="0F4855BC" w:rsidR="00567D7E"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917" w:history="1">
        <w:r w:rsidR="00567D7E" w:rsidRPr="0064799C">
          <w:rPr>
            <w:rStyle w:val="Hyperlink"/>
            <w:noProof/>
          </w:rPr>
          <w:t>Observation 2</w:t>
        </w:r>
        <w:r w:rsidR="00567D7E">
          <w:rPr>
            <w:rFonts w:asciiTheme="minorHAnsi" w:eastAsiaTheme="minorEastAsia" w:hAnsiTheme="minorHAnsi" w:cstheme="minorBidi"/>
            <w:b w:val="0"/>
            <w:noProof/>
            <w:sz w:val="22"/>
            <w:szCs w:val="22"/>
            <w:lang w:val="en-SE" w:eastAsia="en-SE"/>
          </w:rPr>
          <w:tab/>
        </w:r>
        <w:r w:rsidR="00567D7E" w:rsidRPr="0064799C">
          <w:rPr>
            <w:rStyle w:val="Hyperlink"/>
            <w:noProof/>
          </w:rPr>
          <w:t>For gNB-centric data collection for NW-side model, the data collection framework may incorporate some parts of logged MDT. However, MDT as such has certain properties that make it not suitable.</w:t>
        </w:r>
      </w:hyperlink>
    </w:p>
    <w:p w14:paraId="10B894D0" w14:textId="465917FC" w:rsidR="00851805" w:rsidRDefault="00851805" w:rsidP="00851805">
      <w:pPr>
        <w:pStyle w:val="BodyText"/>
        <w:keepNext/>
      </w:pPr>
      <w:r w:rsidRPr="0011226F">
        <w:rPr>
          <w:b/>
          <w:bCs/>
        </w:rPr>
        <w:fldChar w:fldCharType="end"/>
      </w:r>
      <w:bookmarkStart w:id="56"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35C971BD" w14:textId="66044CA3" w:rsidR="00D04B23" w:rsidRDefault="0085180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43046" w:history="1">
        <w:r w:rsidR="00D04B23" w:rsidRPr="00DF422C">
          <w:rPr>
            <w:rStyle w:val="Hyperlink"/>
            <w:noProof/>
          </w:rPr>
          <w:t>Proposal 1</w:t>
        </w:r>
        <w:r w:rsidR="00D04B23">
          <w:rPr>
            <w:rFonts w:asciiTheme="minorHAnsi" w:eastAsiaTheme="minorEastAsia" w:hAnsiTheme="minorHAnsi" w:cstheme="minorBidi"/>
            <w:b w:val="0"/>
            <w:noProof/>
            <w:sz w:val="22"/>
            <w:szCs w:val="22"/>
            <w:lang w:val="en-SE" w:eastAsia="en-SE"/>
          </w:rPr>
          <w:tab/>
        </w:r>
        <w:r w:rsidR="00D04B23" w:rsidRPr="00DF422C">
          <w:rPr>
            <w:rStyle w:val="Hyperlink"/>
            <w:noProof/>
          </w:rPr>
          <w:t>For training of NW-side models, RAN2 prioritizes discussion on the suitability of data collection frameworks for gNB-centric data collection.</w:t>
        </w:r>
      </w:hyperlink>
    </w:p>
    <w:p w14:paraId="0C1D408C" w14:textId="7E22EDC4"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47" w:history="1">
        <w:r w:rsidRPr="00DF422C">
          <w:rPr>
            <w:rStyle w:val="Hyperlink"/>
            <w:noProof/>
          </w:rPr>
          <w:t>Proposal 2</w:t>
        </w:r>
        <w:r>
          <w:rPr>
            <w:rFonts w:asciiTheme="minorHAnsi" w:eastAsiaTheme="minorEastAsia" w:hAnsiTheme="minorHAnsi" w:cstheme="minorBidi"/>
            <w:b w:val="0"/>
            <w:noProof/>
            <w:sz w:val="22"/>
            <w:szCs w:val="22"/>
            <w:lang w:val="en-SE" w:eastAsia="en-SE"/>
          </w:rPr>
          <w:tab/>
        </w:r>
        <w:r w:rsidRPr="00DF422C">
          <w:rPr>
            <w:rStyle w:val="Hyperlink"/>
            <w:noProof/>
          </w:rPr>
          <w:t>For training of NW-side models, the gNB-centric data collection implies that the gNB configures the UE to transfer data and initiates/terminates a data transferring session.</w:t>
        </w:r>
      </w:hyperlink>
    </w:p>
    <w:p w14:paraId="5941E904" w14:textId="67E08C75"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48" w:history="1">
        <w:r w:rsidRPr="00DF422C">
          <w:rPr>
            <w:rStyle w:val="Hyperlink"/>
            <w:noProof/>
          </w:rPr>
          <w:t>Proposal 3</w:t>
        </w:r>
        <w:r>
          <w:rPr>
            <w:rFonts w:asciiTheme="minorHAnsi" w:eastAsiaTheme="minorEastAsia" w:hAnsiTheme="minorHAnsi" w:cstheme="minorBidi"/>
            <w:b w:val="0"/>
            <w:noProof/>
            <w:sz w:val="22"/>
            <w:szCs w:val="22"/>
            <w:lang w:val="en-SE" w:eastAsia="en-SE"/>
          </w:rPr>
          <w:tab/>
        </w:r>
        <w:r w:rsidRPr="00DF422C">
          <w:rPr>
            <w:rStyle w:val="Hyperlink"/>
            <w:noProof/>
          </w:rPr>
          <w:t>For training of NW-side models, RAN2 evaluates the suitability of data collection frameworks for OAM-centric data collection, once RAN1 has assessed the feasibility OAM-centric data collection.</w:t>
        </w:r>
      </w:hyperlink>
    </w:p>
    <w:p w14:paraId="50951418" w14:textId="4797EB3F"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49" w:history="1">
        <w:r w:rsidRPr="00DF422C">
          <w:rPr>
            <w:rStyle w:val="Hyperlink"/>
            <w:noProof/>
          </w:rPr>
          <w:t>Proposal 4</w:t>
        </w:r>
        <w:r>
          <w:rPr>
            <w:rFonts w:asciiTheme="minorHAnsi" w:eastAsiaTheme="minorEastAsia" w:hAnsiTheme="minorHAnsi" w:cstheme="minorBidi"/>
            <w:b w:val="0"/>
            <w:noProof/>
            <w:sz w:val="22"/>
            <w:szCs w:val="22"/>
            <w:lang w:val="en-SE" w:eastAsia="en-SE"/>
          </w:rPr>
          <w:tab/>
        </w:r>
        <w:r w:rsidRPr="00DF422C">
          <w:rPr>
            <w:rStyle w:val="Hyperlink"/>
            <w:noProof/>
          </w:rPr>
          <w:t>For training of NW-side models, the OAM-centric data collection implies that the OAM initiates and terminates the data collection from the UE.</w:t>
        </w:r>
      </w:hyperlink>
    </w:p>
    <w:p w14:paraId="0230CE2A" w14:textId="73FE8202"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0" w:history="1">
        <w:r w:rsidRPr="00DF422C">
          <w:rPr>
            <w:rStyle w:val="Hyperlink"/>
            <w:noProof/>
          </w:rPr>
          <w:t>Proposal 5</w:t>
        </w:r>
        <w:r>
          <w:rPr>
            <w:rFonts w:asciiTheme="minorHAnsi" w:eastAsiaTheme="minorEastAsia" w:hAnsiTheme="minorHAnsi" w:cstheme="minorBidi"/>
            <w:b w:val="0"/>
            <w:noProof/>
            <w:sz w:val="22"/>
            <w:szCs w:val="22"/>
            <w:lang w:val="en-SE" w:eastAsia="en-SE"/>
          </w:rPr>
          <w:tab/>
        </w:r>
        <w:r w:rsidRPr="00DF422C">
          <w:rPr>
            <w:rStyle w:val="Hyperlink"/>
            <w:noProof/>
          </w:rPr>
          <w:t>If feasibility of OAM-centric data collection for NW-side models is assessed by RAN1, RAN2 considers enhancements to logged MDT, such as logging measurements in RRC Connected mode.</w:t>
        </w:r>
      </w:hyperlink>
    </w:p>
    <w:p w14:paraId="2561D4E3" w14:textId="5DBF59EE"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1" w:history="1">
        <w:r w:rsidRPr="00DF422C">
          <w:rPr>
            <w:rStyle w:val="Hyperlink"/>
            <w:noProof/>
          </w:rPr>
          <w:t>Proposal 6</w:t>
        </w:r>
        <w:r>
          <w:rPr>
            <w:rFonts w:asciiTheme="minorHAnsi" w:eastAsiaTheme="minorEastAsia" w:hAnsiTheme="minorHAnsi" w:cstheme="minorBidi"/>
            <w:b w:val="0"/>
            <w:noProof/>
            <w:sz w:val="22"/>
            <w:szCs w:val="22"/>
            <w:lang w:val="en-SE" w:eastAsia="en-SE"/>
          </w:rPr>
          <w:tab/>
        </w:r>
        <w:r w:rsidRPr="00DF422C">
          <w:rPr>
            <w:rStyle w:val="Hyperlink"/>
            <w:noProof/>
          </w:rPr>
          <w:t>For gNB-centric data collection for NW-side model, RAN2 to study a L3 data collection framework that allows the UE to measure and store a set of measurements (details up to RAN1) to be reported to the gNB upon request.</w:t>
        </w:r>
      </w:hyperlink>
    </w:p>
    <w:p w14:paraId="3530C1B7" w14:textId="7844B97E"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2" w:history="1">
        <w:r w:rsidRPr="00DF422C">
          <w:rPr>
            <w:rStyle w:val="Hyperlink"/>
            <w:noProof/>
          </w:rPr>
          <w:t>Proposal 7</w:t>
        </w:r>
        <w:r>
          <w:rPr>
            <w:rFonts w:asciiTheme="minorHAnsi" w:eastAsiaTheme="minorEastAsia" w:hAnsiTheme="minorHAnsi" w:cstheme="minorBidi"/>
            <w:b w:val="0"/>
            <w:noProof/>
            <w:sz w:val="22"/>
            <w:szCs w:val="22"/>
            <w:lang w:val="en-SE" w:eastAsia="en-SE"/>
          </w:rPr>
          <w:tab/>
        </w:r>
        <w:r w:rsidRPr="00DF422C">
          <w:rPr>
            <w:rStyle w:val="Hyperlink"/>
            <w:noProof/>
          </w:rPr>
          <w:t>For NW-side performance monitoring, RAN2 waits for RAN1 input on the need to enhance the L1 reporting configuration or the L3 RRC measurement configuration and reporting.</w:t>
        </w:r>
      </w:hyperlink>
    </w:p>
    <w:p w14:paraId="2A844B45" w14:textId="6155B666"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3" w:history="1">
        <w:r w:rsidRPr="00DF422C">
          <w:rPr>
            <w:rStyle w:val="Hyperlink"/>
            <w:noProof/>
          </w:rPr>
          <w:t>Proposal 8</w:t>
        </w:r>
        <w:r>
          <w:rPr>
            <w:rFonts w:asciiTheme="minorHAnsi" w:eastAsiaTheme="minorEastAsia" w:hAnsiTheme="minorHAnsi" w:cstheme="minorBidi"/>
            <w:b w:val="0"/>
            <w:noProof/>
            <w:sz w:val="22"/>
            <w:szCs w:val="22"/>
            <w:lang w:val="en-SE" w:eastAsia="en-SE"/>
          </w:rPr>
          <w:tab/>
        </w:r>
        <w:r w:rsidRPr="00DF422C">
          <w:rPr>
            <w:rStyle w:val="Hyperlink"/>
            <w:noProof/>
          </w:rPr>
          <w:t>For UE-side model training, RAN2 considers (subject to RAN1 progress), the UE Assistance Information framework as a tool for the UE to request aid from the network in training at the UE.</w:t>
        </w:r>
      </w:hyperlink>
    </w:p>
    <w:p w14:paraId="30485BFA" w14:textId="2048556A"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4" w:history="1">
        <w:r w:rsidRPr="00DF422C">
          <w:rPr>
            <w:rStyle w:val="Hyperlink"/>
            <w:noProof/>
          </w:rPr>
          <w:t>Proposal 9</w:t>
        </w:r>
        <w:r>
          <w:rPr>
            <w:rFonts w:asciiTheme="minorHAnsi" w:eastAsiaTheme="minorEastAsia" w:hAnsiTheme="minorHAnsi" w:cstheme="minorBidi"/>
            <w:b w:val="0"/>
            <w:noProof/>
            <w:sz w:val="22"/>
            <w:szCs w:val="22"/>
            <w:lang w:val="en-SE" w:eastAsia="en-SE"/>
          </w:rPr>
          <w:tab/>
        </w:r>
        <w:r w:rsidRPr="00DF422C">
          <w:rPr>
            <w:rStyle w:val="Hyperlink"/>
            <w:noProof/>
          </w:rPr>
          <w:t>For UE-side performance monitoring at NW side, RAN2 to focus on impacts in layer-2, or layer-3 (possibly including some layer-1 related measurements) for reporting of the outcome of performance monitoring (e.g. performance monitoring results, (non)applicability of AIML functionality). Layer-1 details are left to RAN1.</w:t>
        </w:r>
      </w:hyperlink>
    </w:p>
    <w:p w14:paraId="62FD4B5A" w14:textId="61EFFD29"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5" w:history="1">
        <w:r w:rsidRPr="00DF422C">
          <w:rPr>
            <w:rStyle w:val="Hyperlink"/>
            <w:noProof/>
          </w:rPr>
          <w:t>Proposal 10</w:t>
        </w:r>
        <w:r>
          <w:rPr>
            <w:rFonts w:asciiTheme="minorHAnsi" w:eastAsiaTheme="minorEastAsia" w:hAnsiTheme="minorHAnsi" w:cstheme="minorBidi"/>
            <w:b w:val="0"/>
            <w:noProof/>
            <w:sz w:val="22"/>
            <w:szCs w:val="22"/>
            <w:lang w:val="en-SE" w:eastAsia="en-SE"/>
          </w:rPr>
          <w:tab/>
        </w:r>
        <w:r w:rsidRPr="00DF422C">
          <w:rPr>
            <w:rStyle w:val="Hyperlink"/>
            <w:noProof/>
          </w:rPr>
          <w:t>The need of any enhancements to non-RAN data collection frameworks for UE-side models should be studied in SA WGs.</w:t>
        </w:r>
      </w:hyperlink>
    </w:p>
    <w:p w14:paraId="2A40AB1E" w14:textId="19786348" w:rsidR="00D04B23" w:rsidRDefault="00D04B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3056" w:history="1">
        <w:r w:rsidRPr="00DF422C">
          <w:rPr>
            <w:rStyle w:val="Hyperlink"/>
            <w:noProof/>
          </w:rPr>
          <w:t>Proposal 11</w:t>
        </w:r>
        <w:r>
          <w:rPr>
            <w:rFonts w:asciiTheme="minorHAnsi" w:eastAsiaTheme="minorEastAsia" w:hAnsiTheme="minorHAnsi" w:cstheme="minorBidi"/>
            <w:b w:val="0"/>
            <w:noProof/>
            <w:sz w:val="22"/>
            <w:szCs w:val="22"/>
            <w:lang w:val="en-SE" w:eastAsia="en-SE"/>
          </w:rPr>
          <w:tab/>
        </w:r>
        <w:r w:rsidRPr="00DF422C">
          <w:rPr>
            <w:rStyle w:val="Hyperlink"/>
            <w:noProof/>
          </w:rPr>
          <w:t xml:space="preserve">For CSI/beam management use cases, RAN2 to agree to Table 1 in Annex A which maps LCM functions to the various existing data collection frameworks </w:t>
        </w:r>
        <w:r w:rsidRPr="00DF422C">
          <w:rPr>
            <w:rStyle w:val="Hyperlink"/>
            <w:rFonts w:cs="Arial"/>
            <w:noProof/>
          </w:rPr>
          <w:t>considering; the sidedness of the model, and the entity terminating/initiating the data collection.</w:t>
        </w:r>
      </w:hyperlink>
    </w:p>
    <w:p w14:paraId="6E5B7928" w14:textId="0DF15533" w:rsidR="00851805" w:rsidRPr="002474C2" w:rsidRDefault="00851805" w:rsidP="002474C2">
      <w:pPr>
        <w:pStyle w:val="Reference"/>
        <w:numPr>
          <w:ilvl w:val="0"/>
          <w:numId w:val="0"/>
        </w:numPr>
        <w:rPr>
          <w:b/>
          <w:bCs/>
          <w:lang w:val="en-US"/>
        </w:rPr>
      </w:pPr>
      <w:r>
        <w:rPr>
          <w:b/>
          <w:bCs/>
          <w:lang w:val="en-US"/>
        </w:rPr>
        <w:fldChar w:fldCharType="end"/>
      </w:r>
      <w:bookmarkEnd w:id="56"/>
    </w:p>
    <w:p w14:paraId="5ADB8F2C" w14:textId="7C593A3E" w:rsidR="009870C1" w:rsidRDefault="009870C1" w:rsidP="004719CD">
      <w:pPr>
        <w:pStyle w:val="Reference"/>
        <w:numPr>
          <w:ilvl w:val="0"/>
          <w:numId w:val="0"/>
        </w:numPr>
        <w:ind w:left="567" w:hanging="567"/>
      </w:pPr>
    </w:p>
    <w:p w14:paraId="184659C5" w14:textId="49E480E0" w:rsidR="007B7770" w:rsidRDefault="007B7770" w:rsidP="006E4D30">
      <w:pPr>
        <w:pStyle w:val="Caption"/>
        <w:sectPr w:rsidR="007B7770" w:rsidSect="004464A7">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75453A2B" w14:textId="081E48E8" w:rsidR="00DD18CE" w:rsidRDefault="004719CD" w:rsidP="00C91542">
      <w:pPr>
        <w:pStyle w:val="Heading1"/>
      </w:pPr>
      <w:r>
        <w:lastRenderedPageBreak/>
        <w:t>4</w:t>
      </w:r>
      <w:r w:rsidR="006861AE">
        <w:tab/>
        <w:t>Annex</w:t>
      </w:r>
      <w:r w:rsidR="00D959D0">
        <w:t xml:space="preserve"> </w:t>
      </w:r>
      <w:r w:rsidR="00706E6A">
        <w:t>A</w:t>
      </w:r>
      <w:r w:rsidR="00E41873">
        <w:t xml:space="preserve"> – Analysis of </w:t>
      </w:r>
      <w:r w:rsidR="00940CB9">
        <w:t xml:space="preserve">suitability of the </w:t>
      </w:r>
      <w:r w:rsidR="00E41873">
        <w:t xml:space="preserve">legacy data collection frameworks </w:t>
      </w:r>
    </w:p>
    <w:p w14:paraId="467486C0" w14:textId="77777777" w:rsidR="00060783" w:rsidRDefault="00060783" w:rsidP="00060783"/>
    <w:tbl>
      <w:tblPr>
        <w:tblStyle w:val="TableGrid"/>
        <w:tblW w:w="25652" w:type="dxa"/>
        <w:tblLayout w:type="fixed"/>
        <w:tblLook w:val="04A0" w:firstRow="1" w:lastRow="0" w:firstColumn="1" w:lastColumn="0" w:noHBand="0" w:noVBand="1"/>
      </w:tblPr>
      <w:tblGrid>
        <w:gridCol w:w="2263"/>
        <w:gridCol w:w="3119"/>
        <w:gridCol w:w="2835"/>
        <w:gridCol w:w="2410"/>
        <w:gridCol w:w="3260"/>
        <w:gridCol w:w="2977"/>
        <w:gridCol w:w="3827"/>
        <w:gridCol w:w="4961"/>
      </w:tblGrid>
      <w:tr w:rsidR="00767403" w:rsidRPr="004B6CA9" w14:paraId="6DFD3D96" w14:textId="13D8E603" w:rsidTr="0074682E">
        <w:trPr>
          <w:trHeight w:val="320"/>
        </w:trPr>
        <w:tc>
          <w:tcPr>
            <w:tcW w:w="2263" w:type="dxa"/>
            <w:vMerge w:val="restart"/>
          </w:tcPr>
          <w:p w14:paraId="1F2DFA59" w14:textId="77777777" w:rsidR="00767403" w:rsidRPr="004B6CA9" w:rsidRDefault="00767403" w:rsidP="00B42082">
            <w:pPr>
              <w:rPr>
                <w:rFonts w:ascii="Arial" w:hAnsi="Arial" w:cs="Arial"/>
                <w:sz w:val="20"/>
                <w:szCs w:val="20"/>
              </w:rPr>
            </w:pPr>
          </w:p>
        </w:tc>
        <w:tc>
          <w:tcPr>
            <w:tcW w:w="8364" w:type="dxa"/>
            <w:gridSpan w:val="3"/>
          </w:tcPr>
          <w:p w14:paraId="2C0A5B93" w14:textId="5CBB74C8"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Training</w:t>
            </w:r>
          </w:p>
        </w:tc>
        <w:tc>
          <w:tcPr>
            <w:tcW w:w="15025" w:type="dxa"/>
            <w:gridSpan w:val="4"/>
          </w:tcPr>
          <w:p w14:paraId="06B789FE" w14:textId="0BABB370"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Performance monitoring</w:t>
            </w:r>
          </w:p>
        </w:tc>
      </w:tr>
      <w:tr w:rsidR="00FE476A" w:rsidRPr="004B6CA9" w14:paraId="692071CA" w14:textId="77777777" w:rsidTr="00FE476A">
        <w:trPr>
          <w:trHeight w:val="205"/>
        </w:trPr>
        <w:tc>
          <w:tcPr>
            <w:tcW w:w="2263" w:type="dxa"/>
            <w:vMerge/>
          </w:tcPr>
          <w:p w14:paraId="787ADA52" w14:textId="77777777" w:rsidR="00D97356" w:rsidRPr="004B6CA9" w:rsidRDefault="00D97356" w:rsidP="00B42082">
            <w:pPr>
              <w:rPr>
                <w:rFonts w:ascii="Arial" w:hAnsi="Arial" w:cs="Arial"/>
                <w:sz w:val="20"/>
                <w:szCs w:val="20"/>
              </w:rPr>
            </w:pPr>
          </w:p>
        </w:tc>
        <w:tc>
          <w:tcPr>
            <w:tcW w:w="5954" w:type="dxa"/>
            <w:gridSpan w:val="2"/>
          </w:tcPr>
          <w:p w14:paraId="6073B763" w14:textId="250492DA" w:rsidR="00D97356" w:rsidRPr="000751F7" w:rsidRDefault="00D97356" w:rsidP="0067122D">
            <w:pPr>
              <w:jc w:val="center"/>
              <w:rPr>
                <w:rFonts w:ascii="Arial" w:hAnsi="Arial" w:cs="Arial"/>
                <w:b/>
                <w:bCs/>
              </w:rPr>
            </w:pPr>
            <w:r w:rsidRPr="000751F7">
              <w:rPr>
                <w:rFonts w:ascii="Arial" w:hAnsi="Arial" w:cs="Arial"/>
                <w:b/>
                <w:bCs/>
              </w:rPr>
              <w:t>NW</w:t>
            </w:r>
            <w:r w:rsidR="002460FC" w:rsidRPr="002460FC">
              <w:rPr>
                <w:rFonts w:ascii="Arial" w:hAnsi="Arial" w:cs="Arial"/>
                <w:b/>
                <w:bCs/>
              </w:rPr>
              <w:t>-side</w:t>
            </w:r>
          </w:p>
        </w:tc>
        <w:tc>
          <w:tcPr>
            <w:tcW w:w="2410" w:type="dxa"/>
            <w:vMerge w:val="restart"/>
          </w:tcPr>
          <w:p w14:paraId="5D70CABC" w14:textId="182C7B2C" w:rsidR="00D97356" w:rsidRPr="000751F7" w:rsidRDefault="00D97356" w:rsidP="0067122D">
            <w:pPr>
              <w:jc w:val="center"/>
              <w:rPr>
                <w:rFonts w:ascii="Arial" w:hAnsi="Arial" w:cs="Arial"/>
                <w:b/>
                <w:bCs/>
              </w:rPr>
            </w:pPr>
            <w:r w:rsidRPr="000751F7">
              <w:rPr>
                <w:rFonts w:ascii="Arial" w:hAnsi="Arial" w:cs="Arial"/>
                <w:b/>
                <w:bCs/>
              </w:rPr>
              <w:t>UE</w:t>
            </w:r>
            <w:r w:rsidR="002460FC" w:rsidRPr="002460FC">
              <w:rPr>
                <w:rFonts w:ascii="Arial" w:hAnsi="Arial" w:cs="Arial"/>
                <w:b/>
                <w:bCs/>
              </w:rPr>
              <w:t>-side</w:t>
            </w:r>
            <w:r w:rsidRPr="000751F7">
              <w:rPr>
                <w:rFonts w:ascii="Arial" w:hAnsi="Arial" w:cs="Arial"/>
                <w:b/>
                <w:bCs/>
              </w:rPr>
              <w:t xml:space="preserve"> (only UE-centric)</w:t>
            </w:r>
          </w:p>
        </w:tc>
        <w:tc>
          <w:tcPr>
            <w:tcW w:w="6237" w:type="dxa"/>
            <w:gridSpan w:val="2"/>
          </w:tcPr>
          <w:p w14:paraId="2FBE10D5" w14:textId="6D21AB38" w:rsidR="00D97356" w:rsidRPr="000751F7" w:rsidRDefault="00604D3B" w:rsidP="00F95FE8">
            <w:pPr>
              <w:jc w:val="center"/>
              <w:rPr>
                <w:rFonts w:ascii="Arial" w:hAnsi="Arial" w:cs="Arial"/>
                <w:b/>
                <w:bCs/>
              </w:rPr>
            </w:pPr>
            <w:r>
              <w:rPr>
                <w:rFonts w:ascii="Arial" w:hAnsi="Arial" w:cs="Arial"/>
                <w:b/>
                <w:bCs/>
              </w:rPr>
              <w:t>NW</w:t>
            </w:r>
            <w:r w:rsidR="002460FC" w:rsidRPr="002460FC">
              <w:rPr>
                <w:rFonts w:ascii="Arial" w:hAnsi="Arial" w:cs="Arial"/>
                <w:b/>
                <w:bCs/>
              </w:rPr>
              <w:t>-side</w:t>
            </w:r>
          </w:p>
        </w:tc>
        <w:tc>
          <w:tcPr>
            <w:tcW w:w="8788" w:type="dxa"/>
            <w:gridSpan w:val="2"/>
          </w:tcPr>
          <w:p w14:paraId="4B1E6BF5" w14:textId="668540F3" w:rsidR="00D97356" w:rsidRPr="00F95FE8" w:rsidRDefault="00604D3B" w:rsidP="00F95FE8">
            <w:pPr>
              <w:jc w:val="center"/>
              <w:rPr>
                <w:rFonts w:ascii="Arial" w:hAnsi="Arial" w:cs="Arial"/>
                <w:b/>
                <w:bCs/>
              </w:rPr>
            </w:pPr>
            <w:r w:rsidRPr="00F95FE8">
              <w:rPr>
                <w:rFonts w:ascii="Arial" w:hAnsi="Arial" w:cs="Arial"/>
                <w:b/>
                <w:bCs/>
              </w:rPr>
              <w:t>UE</w:t>
            </w:r>
            <w:r w:rsidR="002460FC" w:rsidRPr="002460FC">
              <w:rPr>
                <w:rFonts w:ascii="Arial" w:hAnsi="Arial" w:cs="Arial"/>
                <w:b/>
                <w:bCs/>
              </w:rPr>
              <w:t>-side</w:t>
            </w:r>
          </w:p>
        </w:tc>
      </w:tr>
      <w:tr w:rsidR="0074682E" w:rsidRPr="004B6CA9" w14:paraId="1D47E9B0" w14:textId="77777777" w:rsidTr="00FE476A">
        <w:trPr>
          <w:trHeight w:val="205"/>
        </w:trPr>
        <w:tc>
          <w:tcPr>
            <w:tcW w:w="2263" w:type="dxa"/>
            <w:vMerge/>
          </w:tcPr>
          <w:p w14:paraId="76A4AB97" w14:textId="77777777" w:rsidR="00556451" w:rsidRPr="004B6CA9" w:rsidRDefault="00556451" w:rsidP="00B42082">
            <w:pPr>
              <w:rPr>
                <w:rFonts w:ascii="Arial" w:hAnsi="Arial" w:cs="Arial"/>
              </w:rPr>
            </w:pPr>
          </w:p>
        </w:tc>
        <w:tc>
          <w:tcPr>
            <w:tcW w:w="3119" w:type="dxa"/>
          </w:tcPr>
          <w:p w14:paraId="004859AA" w14:textId="2F23EA36"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gNB-centric</w:t>
            </w:r>
            <w:r w:rsidR="00F47CBC">
              <w:rPr>
                <w:rFonts w:ascii="Arial" w:hAnsi="Arial" w:cs="Arial"/>
                <w:b/>
                <w:bCs/>
                <w:sz w:val="20"/>
                <w:szCs w:val="20"/>
              </w:rPr>
              <w:t xml:space="preserve"> data collection</w:t>
            </w:r>
          </w:p>
        </w:tc>
        <w:tc>
          <w:tcPr>
            <w:tcW w:w="2835" w:type="dxa"/>
          </w:tcPr>
          <w:p w14:paraId="2657BAE4" w14:textId="76069AEB"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OAM-centric</w:t>
            </w:r>
            <w:r w:rsidR="00F47CBC">
              <w:rPr>
                <w:rFonts w:ascii="Arial" w:hAnsi="Arial" w:cs="Arial"/>
                <w:b/>
                <w:bCs/>
                <w:sz w:val="20"/>
                <w:szCs w:val="20"/>
              </w:rPr>
              <w:t xml:space="preserve"> data collection</w:t>
            </w:r>
          </w:p>
        </w:tc>
        <w:tc>
          <w:tcPr>
            <w:tcW w:w="2410" w:type="dxa"/>
            <w:vMerge/>
          </w:tcPr>
          <w:p w14:paraId="0EA97A33" w14:textId="77777777" w:rsidR="00556451" w:rsidRDefault="00556451" w:rsidP="00B42082">
            <w:pPr>
              <w:rPr>
                <w:rFonts w:ascii="Arial" w:hAnsi="Arial" w:cs="Arial"/>
              </w:rPr>
            </w:pPr>
          </w:p>
        </w:tc>
        <w:tc>
          <w:tcPr>
            <w:tcW w:w="3260" w:type="dxa"/>
          </w:tcPr>
          <w:p w14:paraId="0F71F738" w14:textId="695C40F3"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gNB-centric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2977" w:type="dxa"/>
          </w:tcPr>
          <w:p w14:paraId="2225D405" w14:textId="0E6A2DCF"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OAM</w:t>
            </w:r>
            <w:r w:rsidR="00A07D58">
              <w:rPr>
                <w:rFonts w:ascii="Arial" w:hAnsi="Arial" w:cs="Arial"/>
                <w:b/>
                <w:bCs/>
                <w:sz w:val="20"/>
                <w:szCs w:val="20"/>
              </w:rPr>
              <w:t>-</w:t>
            </w:r>
            <w:r w:rsidRPr="00A07D58">
              <w:rPr>
                <w:rFonts w:ascii="Arial" w:hAnsi="Arial" w:cs="Arial"/>
                <w:b/>
                <w:bCs/>
                <w:sz w:val="20"/>
                <w:szCs w:val="20"/>
              </w:rPr>
              <w:t>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3827" w:type="dxa"/>
          </w:tcPr>
          <w:p w14:paraId="204391E5" w14:textId="489B3648"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UE</w:t>
            </w:r>
          </w:p>
        </w:tc>
        <w:tc>
          <w:tcPr>
            <w:tcW w:w="4961" w:type="dxa"/>
          </w:tcPr>
          <w:p w14:paraId="16C1A0F1" w14:textId="3C3F8BB0"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gNB</w:t>
            </w:r>
          </w:p>
        </w:tc>
      </w:tr>
      <w:tr w:rsidR="00030D98" w:rsidRPr="008D215F" w14:paraId="7E663E2A" w14:textId="77777777" w:rsidTr="00FE476A">
        <w:tc>
          <w:tcPr>
            <w:tcW w:w="2263" w:type="dxa"/>
          </w:tcPr>
          <w:p w14:paraId="6F399DFC" w14:textId="1028A1E4" w:rsidR="00030D98" w:rsidRPr="00B76414" w:rsidRDefault="00030D98" w:rsidP="00A55232">
            <w:pPr>
              <w:rPr>
                <w:rFonts w:ascii="Arial" w:hAnsi="Arial" w:cs="Arial"/>
                <w:b/>
                <w:bCs/>
                <w:sz w:val="24"/>
                <w:szCs w:val="24"/>
              </w:rPr>
            </w:pPr>
            <w:r>
              <w:rPr>
                <w:rFonts w:ascii="Arial" w:hAnsi="Arial" w:cs="Arial"/>
                <w:b/>
                <w:bCs/>
                <w:sz w:val="24"/>
                <w:szCs w:val="24"/>
              </w:rPr>
              <w:t>Logged MDT</w:t>
            </w:r>
          </w:p>
        </w:tc>
        <w:tc>
          <w:tcPr>
            <w:tcW w:w="3119" w:type="dxa"/>
          </w:tcPr>
          <w:p w14:paraId="106EB78C" w14:textId="5E13C5BD" w:rsidR="00030D98" w:rsidRPr="00A5543B" w:rsidRDefault="00567296"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009065D6" w:rsidRPr="00A5543B">
              <w:rPr>
                <w:rFonts w:ascii="Arial" w:hAnsi="Arial" w:cs="Arial"/>
                <w:sz w:val="20"/>
                <w:szCs w:val="20"/>
              </w:rPr>
              <w:t xml:space="preserve">: </w:t>
            </w:r>
            <w:r w:rsidR="005453AF" w:rsidRPr="00A5543B">
              <w:rPr>
                <w:rFonts w:ascii="Arial" w:hAnsi="Arial" w:cs="Arial"/>
                <w:sz w:val="20"/>
                <w:szCs w:val="20"/>
              </w:rPr>
              <w:t xml:space="preserve">in MDT the initiation of the reporting session and the </w:t>
            </w:r>
            <w:r w:rsidR="00954BE5" w:rsidRPr="00A5543B">
              <w:rPr>
                <w:rFonts w:ascii="Arial" w:hAnsi="Arial" w:cs="Arial"/>
                <w:sz w:val="20"/>
                <w:szCs w:val="20"/>
              </w:rPr>
              <w:t xml:space="preserve">data collection </w:t>
            </w:r>
            <w:r w:rsidR="005453AF" w:rsidRPr="00A5543B">
              <w:rPr>
                <w:rFonts w:ascii="Arial" w:hAnsi="Arial" w:cs="Arial"/>
                <w:sz w:val="20"/>
                <w:szCs w:val="20"/>
              </w:rPr>
              <w:t>termination point is in the TCE/OAM</w:t>
            </w:r>
            <w:r w:rsidR="000A66B5" w:rsidRPr="00A5543B">
              <w:rPr>
                <w:rFonts w:ascii="Arial" w:hAnsi="Arial" w:cs="Arial"/>
                <w:sz w:val="20"/>
                <w:szCs w:val="20"/>
              </w:rPr>
              <w:t>.</w:t>
            </w:r>
          </w:p>
        </w:tc>
        <w:tc>
          <w:tcPr>
            <w:tcW w:w="2835" w:type="dxa"/>
          </w:tcPr>
          <w:p w14:paraId="02843806" w14:textId="02A7ADBA" w:rsidR="00030D98" w:rsidRPr="00A5543B" w:rsidRDefault="00094852" w:rsidP="00A55232">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provided that enhancements are</w:t>
            </w:r>
            <w:r w:rsidR="00774404">
              <w:rPr>
                <w:rFonts w:ascii="Arial" w:hAnsi="Arial" w:cs="Arial"/>
                <w:sz w:val="20"/>
                <w:szCs w:val="20"/>
              </w:rPr>
              <w:t xml:space="preserve"> at least</w:t>
            </w:r>
            <w:r w:rsidRPr="00A5543B">
              <w:rPr>
                <w:rFonts w:ascii="Arial" w:hAnsi="Arial" w:cs="Arial"/>
                <w:sz w:val="20"/>
                <w:szCs w:val="20"/>
              </w:rPr>
              <w:t xml:space="preserve"> introduced </w:t>
            </w:r>
            <w:r w:rsidR="003B3904" w:rsidRPr="00A5543B">
              <w:rPr>
                <w:rFonts w:ascii="Arial" w:hAnsi="Arial" w:cs="Arial"/>
                <w:sz w:val="20"/>
                <w:szCs w:val="20"/>
              </w:rPr>
              <w:t xml:space="preserve">for </w:t>
            </w:r>
            <w:r w:rsidR="00DC180E" w:rsidRPr="00A5543B">
              <w:rPr>
                <w:rFonts w:ascii="Arial" w:hAnsi="Arial" w:cs="Arial"/>
                <w:sz w:val="20"/>
                <w:szCs w:val="20"/>
              </w:rPr>
              <w:t xml:space="preserve">logging in </w:t>
            </w:r>
            <w:r w:rsidR="003B3904" w:rsidRPr="00A5543B">
              <w:rPr>
                <w:rFonts w:ascii="Arial" w:hAnsi="Arial" w:cs="Arial"/>
                <w:sz w:val="20"/>
                <w:szCs w:val="20"/>
              </w:rPr>
              <w:t>RRC-</w:t>
            </w:r>
            <w:r w:rsidR="00DC180E" w:rsidRPr="00A5543B">
              <w:rPr>
                <w:rFonts w:ascii="Arial" w:hAnsi="Arial" w:cs="Arial"/>
                <w:sz w:val="20"/>
                <w:szCs w:val="20"/>
              </w:rPr>
              <w:t>C</w:t>
            </w:r>
            <w:r w:rsidR="003B3904" w:rsidRPr="00A5543B">
              <w:rPr>
                <w:rFonts w:ascii="Arial" w:hAnsi="Arial" w:cs="Arial"/>
                <w:sz w:val="20"/>
                <w:szCs w:val="20"/>
              </w:rPr>
              <w:t xml:space="preserve">onnected </w:t>
            </w:r>
            <w:r w:rsidR="00DC180E" w:rsidRPr="00A5543B">
              <w:rPr>
                <w:rFonts w:ascii="Arial" w:hAnsi="Arial" w:cs="Arial"/>
                <w:sz w:val="20"/>
                <w:szCs w:val="20"/>
              </w:rPr>
              <w:t>mode</w:t>
            </w:r>
            <w:r w:rsidR="00E37080">
              <w:rPr>
                <w:rFonts w:ascii="Arial" w:hAnsi="Arial" w:cs="Arial"/>
                <w:sz w:val="20"/>
                <w:szCs w:val="20"/>
              </w:rPr>
              <w:t>.</w:t>
            </w:r>
          </w:p>
        </w:tc>
        <w:tc>
          <w:tcPr>
            <w:tcW w:w="2410" w:type="dxa"/>
          </w:tcPr>
          <w:p w14:paraId="25660091" w14:textId="15082E46" w:rsidR="00030D98" w:rsidRPr="004B6CA9" w:rsidRDefault="0024326A" w:rsidP="00A55232">
            <w:pPr>
              <w:spacing w:after="60"/>
              <w:rPr>
                <w:rFonts w:ascii="Arial" w:hAnsi="Arial" w:cs="Arial"/>
                <w:sz w:val="20"/>
                <w:szCs w:val="20"/>
              </w:rPr>
            </w:pPr>
            <w:r w:rsidRPr="00FA1D84">
              <w:rPr>
                <w:rFonts w:ascii="Arial" w:hAnsi="Arial" w:cs="Arial"/>
                <w:b/>
                <w:bCs/>
                <w:sz w:val="20"/>
                <w:szCs w:val="20"/>
                <w:highlight w:val="red"/>
                <w:u w:val="single"/>
              </w:rPr>
              <w:t>N</w:t>
            </w:r>
            <w:r w:rsidR="007915D6" w:rsidRPr="00FA1D84">
              <w:rPr>
                <w:rFonts w:ascii="Arial" w:hAnsi="Arial" w:cs="Arial"/>
                <w:b/>
                <w:bCs/>
                <w:sz w:val="20"/>
                <w:szCs w:val="20"/>
                <w:highlight w:val="red"/>
                <w:u w:val="single"/>
              </w:rPr>
              <w:t>ot suitable</w:t>
            </w:r>
            <w:r w:rsidR="007915D6">
              <w:rPr>
                <w:rFonts w:ascii="Arial" w:hAnsi="Arial" w:cs="Arial"/>
                <w:sz w:val="20"/>
                <w:szCs w:val="20"/>
              </w:rPr>
              <w:t xml:space="preserve">: </w:t>
            </w:r>
            <w:r w:rsidR="009F4DB2">
              <w:rPr>
                <w:rFonts w:ascii="Arial" w:hAnsi="Arial" w:cs="Arial"/>
                <w:sz w:val="20"/>
                <w:szCs w:val="20"/>
              </w:rPr>
              <w:t>T</w:t>
            </w:r>
            <w:r w:rsidR="007915D6">
              <w:rPr>
                <w:rFonts w:ascii="Arial" w:hAnsi="Arial" w:cs="Arial"/>
                <w:sz w:val="20"/>
                <w:szCs w:val="20"/>
              </w:rPr>
              <w:t>he training is performed by the UE (possibly with the aid</w:t>
            </w:r>
            <w:r w:rsidR="00AB4991">
              <w:rPr>
                <w:rFonts w:ascii="Arial" w:hAnsi="Arial" w:cs="Arial"/>
                <w:sz w:val="20"/>
                <w:szCs w:val="20"/>
              </w:rPr>
              <w:t xml:space="preserve"> o</w:t>
            </w:r>
            <w:r w:rsidR="00A504C9">
              <w:rPr>
                <w:rFonts w:ascii="Arial" w:hAnsi="Arial" w:cs="Arial"/>
                <w:sz w:val="20"/>
                <w:szCs w:val="20"/>
              </w:rPr>
              <w:t>f</w:t>
            </w:r>
            <w:r w:rsidR="00370EEE">
              <w:rPr>
                <w:rFonts w:ascii="Arial" w:hAnsi="Arial" w:cs="Arial"/>
                <w:sz w:val="20"/>
                <w:szCs w:val="20"/>
              </w:rPr>
              <w:t xml:space="preserve"> OTT server</w:t>
            </w:r>
            <w:r w:rsidR="007915D6">
              <w:rPr>
                <w:rFonts w:ascii="Arial" w:hAnsi="Arial" w:cs="Arial"/>
                <w:sz w:val="20"/>
                <w:szCs w:val="20"/>
              </w:rPr>
              <w:t>)</w:t>
            </w:r>
            <w:r w:rsidR="00F83F4C">
              <w:rPr>
                <w:rFonts w:ascii="Arial" w:hAnsi="Arial" w:cs="Arial"/>
                <w:sz w:val="20"/>
                <w:szCs w:val="20"/>
              </w:rPr>
              <w:t xml:space="preserve">. </w:t>
            </w:r>
            <w:r w:rsidR="009E197C">
              <w:rPr>
                <w:rFonts w:ascii="Arial" w:hAnsi="Arial" w:cs="Arial"/>
                <w:sz w:val="20"/>
                <w:szCs w:val="20"/>
              </w:rPr>
              <w:t>No need to report trained results to the OAM for the UE</w:t>
            </w:r>
            <w:r w:rsidR="002460FC">
              <w:t>-</w:t>
            </w:r>
            <w:r w:rsidR="002460FC" w:rsidRPr="00D320B9">
              <w:t>side</w:t>
            </w:r>
            <w:r w:rsidR="009E197C">
              <w:rPr>
                <w:rFonts w:ascii="Arial" w:hAnsi="Arial" w:cs="Arial"/>
                <w:sz w:val="20"/>
                <w:szCs w:val="20"/>
              </w:rPr>
              <w:t xml:space="preserve"> training.</w:t>
            </w:r>
          </w:p>
        </w:tc>
        <w:tc>
          <w:tcPr>
            <w:tcW w:w="3260" w:type="dxa"/>
          </w:tcPr>
          <w:p w14:paraId="076EF6C1" w14:textId="77777777" w:rsidR="00030D98" w:rsidRDefault="00A83AA9" w:rsidP="00680454">
            <w:pPr>
              <w:spacing w:after="60"/>
              <w:rPr>
                <w:rFonts w:ascii="Arial" w:hAnsi="Arial" w:cs="Arial"/>
                <w:sz w:val="20"/>
                <w:szCs w:val="20"/>
              </w:rPr>
            </w:pPr>
            <w:r w:rsidRPr="00FA1D84">
              <w:rPr>
                <w:rFonts w:ascii="Arial" w:hAnsi="Arial" w:cs="Arial"/>
                <w:b/>
                <w:bCs/>
                <w:sz w:val="20"/>
                <w:szCs w:val="20"/>
                <w:highlight w:val="red"/>
                <w:u w:val="single"/>
              </w:rPr>
              <w:t>Not suitable</w:t>
            </w:r>
            <w:r w:rsidR="00C0405E" w:rsidRPr="008D215F">
              <w:rPr>
                <w:rFonts w:ascii="Arial" w:hAnsi="Arial" w:cs="Arial"/>
                <w:sz w:val="20"/>
                <w:szCs w:val="20"/>
              </w:rPr>
              <w:t>: performance monitoring has stringent latency requirements</w:t>
            </w:r>
            <w:r w:rsidR="00AB7ABB">
              <w:rPr>
                <w:rFonts w:ascii="Arial" w:hAnsi="Arial" w:cs="Arial"/>
                <w:sz w:val="20"/>
                <w:szCs w:val="20"/>
              </w:rPr>
              <w:t>.</w:t>
            </w:r>
            <w:r w:rsidR="00074EC1">
              <w:rPr>
                <w:rFonts w:ascii="Arial" w:hAnsi="Arial" w:cs="Arial"/>
                <w:sz w:val="20"/>
                <w:szCs w:val="20"/>
              </w:rPr>
              <w:t xml:space="preserve"> </w:t>
            </w:r>
            <w:r w:rsidR="00FE08BB">
              <w:rPr>
                <w:rFonts w:ascii="Arial" w:hAnsi="Arial" w:cs="Arial"/>
                <w:sz w:val="20"/>
                <w:szCs w:val="20"/>
              </w:rPr>
              <w:t xml:space="preserve">Moreover, </w:t>
            </w:r>
            <w:r w:rsidR="00FE08BB" w:rsidRPr="00A5543B">
              <w:rPr>
                <w:rFonts w:ascii="Arial" w:hAnsi="Arial" w:cs="Arial"/>
                <w:sz w:val="20"/>
                <w:szCs w:val="20"/>
              </w:rPr>
              <w:t>in MDT the initiation of the reporting session and the data collection termination point is in the TCE/OAM.</w:t>
            </w:r>
          </w:p>
          <w:p w14:paraId="553091F8" w14:textId="69CCA6E0" w:rsidR="00030D98" w:rsidRPr="008D215F" w:rsidRDefault="000D2183" w:rsidP="00A55232">
            <w:pPr>
              <w:spacing w:after="60"/>
              <w:rPr>
                <w:rFonts w:ascii="Arial" w:hAnsi="Arial" w:cs="Arial"/>
                <w:sz w:val="20"/>
                <w:szCs w:val="20"/>
              </w:rPr>
            </w:pPr>
            <w:r>
              <w:rPr>
                <w:rFonts w:ascii="Arial" w:hAnsi="Arial" w:cs="Arial"/>
                <w:sz w:val="20"/>
                <w:szCs w:val="20"/>
              </w:rPr>
              <w:t xml:space="preserve">Additionally, </w:t>
            </w:r>
            <w:r w:rsidR="001E07E9">
              <w:rPr>
                <w:rFonts w:ascii="Arial" w:hAnsi="Arial" w:cs="Arial"/>
                <w:sz w:val="20"/>
                <w:szCs w:val="20"/>
              </w:rPr>
              <w:t>logged MDT measurements are not done in</w:t>
            </w:r>
            <w:r w:rsidR="00574843">
              <w:rPr>
                <w:rFonts w:ascii="Arial" w:hAnsi="Arial" w:cs="Arial"/>
                <w:sz w:val="20"/>
                <w:szCs w:val="20"/>
              </w:rPr>
              <w:t xml:space="preserve"> RRC Connected state. </w:t>
            </w:r>
          </w:p>
        </w:tc>
        <w:tc>
          <w:tcPr>
            <w:tcW w:w="2977" w:type="dxa"/>
          </w:tcPr>
          <w:p w14:paraId="435CB906" w14:textId="2C3BF095" w:rsidR="00030D98" w:rsidRPr="008D215F" w:rsidRDefault="007E6318"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sidR="00E37080">
              <w:rPr>
                <w:rFonts w:ascii="Arial" w:hAnsi="Arial" w:cs="Arial"/>
                <w:sz w:val="20"/>
                <w:szCs w:val="20"/>
              </w:rPr>
              <w:t>.</w:t>
            </w:r>
          </w:p>
        </w:tc>
        <w:tc>
          <w:tcPr>
            <w:tcW w:w="3827" w:type="dxa"/>
          </w:tcPr>
          <w:p w14:paraId="57330487" w14:textId="77BE0D08" w:rsidR="00030D98" w:rsidRPr="008D215F" w:rsidRDefault="00251FB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5B4197B7" w14:textId="7EB3271E" w:rsidR="00030D98" w:rsidRPr="008D215F" w:rsidRDefault="00590433"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Pr>
                <w:rFonts w:ascii="Arial" w:hAnsi="Arial" w:cs="Arial"/>
                <w:sz w:val="20"/>
                <w:szCs w:val="20"/>
              </w:rPr>
              <w:t xml:space="preserve">. Moreover, </w:t>
            </w:r>
            <w:r w:rsidRPr="00A5543B">
              <w:rPr>
                <w:rFonts w:ascii="Arial" w:hAnsi="Arial" w:cs="Arial"/>
                <w:sz w:val="20"/>
                <w:szCs w:val="20"/>
              </w:rPr>
              <w:t>in MDT the initiation of the reporting session and the data collection termination point is in the TCE/OAM.</w:t>
            </w:r>
          </w:p>
        </w:tc>
      </w:tr>
      <w:tr w:rsidR="00030D98" w:rsidRPr="008D215F" w14:paraId="706979AB" w14:textId="77777777" w:rsidTr="00FE476A">
        <w:tc>
          <w:tcPr>
            <w:tcW w:w="2263" w:type="dxa"/>
          </w:tcPr>
          <w:p w14:paraId="336BC6AC" w14:textId="785D3FB6" w:rsidR="00030D98" w:rsidRPr="00B76414" w:rsidRDefault="00030D98" w:rsidP="00030D98">
            <w:pPr>
              <w:rPr>
                <w:rFonts w:ascii="Arial" w:hAnsi="Arial" w:cs="Arial"/>
                <w:b/>
                <w:bCs/>
                <w:sz w:val="24"/>
                <w:szCs w:val="24"/>
              </w:rPr>
            </w:pPr>
            <w:r w:rsidRPr="00B76414">
              <w:rPr>
                <w:rFonts w:ascii="Arial" w:hAnsi="Arial" w:cs="Arial"/>
                <w:b/>
                <w:bCs/>
                <w:sz w:val="24"/>
                <w:szCs w:val="24"/>
              </w:rPr>
              <w:t>Immediate MDT</w:t>
            </w:r>
          </w:p>
        </w:tc>
        <w:tc>
          <w:tcPr>
            <w:tcW w:w="3119" w:type="dxa"/>
          </w:tcPr>
          <w:p w14:paraId="48B1803D" w14:textId="592A4C4C" w:rsidR="00030D98" w:rsidRPr="00A5543B" w:rsidRDefault="00785761"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6D09D6" w:rsidRPr="00A5543B">
              <w:rPr>
                <w:rFonts w:ascii="Arial" w:hAnsi="Arial" w:cs="Arial"/>
                <w:sz w:val="20"/>
                <w:szCs w:val="20"/>
              </w:rPr>
              <w:t>:</w:t>
            </w:r>
            <w:r w:rsidRPr="00A5543B">
              <w:rPr>
                <w:rFonts w:ascii="Arial" w:hAnsi="Arial" w:cs="Arial"/>
                <w:sz w:val="20"/>
                <w:szCs w:val="20"/>
              </w:rPr>
              <w:t xml:space="preserve"> in MDT </w:t>
            </w:r>
            <w:r w:rsidR="005B1F55" w:rsidRPr="00A5543B">
              <w:rPr>
                <w:rFonts w:ascii="Arial" w:hAnsi="Arial" w:cs="Arial"/>
                <w:sz w:val="20"/>
                <w:szCs w:val="20"/>
              </w:rPr>
              <w:t>the initiation of the reporting session and</w:t>
            </w:r>
            <w:r w:rsidR="00E558E7" w:rsidRPr="00A5543B">
              <w:rPr>
                <w:rFonts w:ascii="Arial" w:hAnsi="Arial" w:cs="Arial"/>
                <w:sz w:val="20"/>
                <w:szCs w:val="20"/>
              </w:rPr>
              <w:t xml:space="preserve"> the</w:t>
            </w:r>
            <w:r w:rsidR="00954BE5" w:rsidRPr="00A5543B">
              <w:rPr>
                <w:rFonts w:ascii="Arial" w:hAnsi="Arial" w:cs="Arial"/>
                <w:sz w:val="20"/>
                <w:szCs w:val="20"/>
              </w:rPr>
              <w:t xml:space="preserve"> data collection</w:t>
            </w:r>
            <w:r w:rsidR="00E558E7" w:rsidRPr="00A5543B">
              <w:rPr>
                <w:rFonts w:ascii="Arial" w:hAnsi="Arial" w:cs="Arial"/>
                <w:sz w:val="20"/>
                <w:szCs w:val="20"/>
              </w:rPr>
              <w:t xml:space="preserve"> termination point is in the TCE/OAM</w:t>
            </w:r>
            <w:r w:rsidR="00FB6F27" w:rsidRPr="00A5543B">
              <w:rPr>
                <w:rFonts w:ascii="Arial" w:hAnsi="Arial" w:cs="Arial"/>
                <w:sz w:val="20"/>
                <w:szCs w:val="20"/>
              </w:rPr>
              <w:t>.</w:t>
            </w:r>
          </w:p>
        </w:tc>
        <w:tc>
          <w:tcPr>
            <w:tcW w:w="2835" w:type="dxa"/>
          </w:tcPr>
          <w:p w14:paraId="5C917023" w14:textId="15814172" w:rsidR="00030D98" w:rsidRPr="00664480" w:rsidRDefault="00872F65"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00954F94">
              <w:rPr>
                <w:rFonts w:ascii="Arial" w:hAnsi="Arial" w:cs="Arial"/>
                <w:sz w:val="20"/>
                <w:szCs w:val="20"/>
              </w:rPr>
              <w:t xml:space="preserve">: </w:t>
            </w:r>
            <w:r w:rsidR="00954F94" w:rsidRPr="00A5543B">
              <w:rPr>
                <w:rFonts w:ascii="Arial" w:hAnsi="Arial" w:cs="Arial"/>
                <w:sz w:val="20"/>
                <w:szCs w:val="20"/>
              </w:rPr>
              <w:t>in</w:t>
            </w:r>
            <w:r w:rsidR="00885F05">
              <w:rPr>
                <w:rFonts w:ascii="Arial" w:hAnsi="Arial" w:cs="Arial"/>
                <w:sz w:val="20"/>
                <w:szCs w:val="20"/>
              </w:rPr>
              <w:t xml:space="preserve"> </w:t>
            </w:r>
            <w:r w:rsidR="009E0D24">
              <w:rPr>
                <w:rFonts w:ascii="Arial" w:hAnsi="Arial" w:cs="Arial"/>
                <w:sz w:val="20"/>
                <w:szCs w:val="20"/>
              </w:rPr>
              <w:t>I</w:t>
            </w:r>
            <w:r w:rsidR="00885F05">
              <w:rPr>
                <w:rFonts w:ascii="Arial" w:hAnsi="Arial" w:cs="Arial"/>
                <w:sz w:val="20"/>
                <w:szCs w:val="20"/>
              </w:rPr>
              <w:t>mmediate</w:t>
            </w:r>
            <w:r w:rsidR="009E0D24">
              <w:rPr>
                <w:rFonts w:ascii="Arial" w:hAnsi="Arial" w:cs="Arial"/>
                <w:sz w:val="20"/>
                <w:szCs w:val="20"/>
              </w:rPr>
              <w:t xml:space="preserve"> </w:t>
            </w:r>
            <w:r w:rsidR="00954F94" w:rsidRPr="00A5543B">
              <w:rPr>
                <w:rFonts w:ascii="Arial" w:hAnsi="Arial" w:cs="Arial"/>
                <w:sz w:val="20"/>
                <w:szCs w:val="20"/>
              </w:rPr>
              <w:t>MDT</w:t>
            </w:r>
            <w:r w:rsidR="00AA7FAB">
              <w:rPr>
                <w:rFonts w:ascii="Arial" w:hAnsi="Arial" w:cs="Arial"/>
                <w:sz w:val="20"/>
                <w:szCs w:val="20"/>
              </w:rPr>
              <w:t>,</w:t>
            </w:r>
            <w:r w:rsidR="00954F94" w:rsidRPr="00A5543B">
              <w:rPr>
                <w:rFonts w:ascii="Arial" w:hAnsi="Arial" w:cs="Arial"/>
                <w:sz w:val="20"/>
                <w:szCs w:val="20"/>
              </w:rPr>
              <w:t xml:space="preserve"> the initiation of the reporting session and the data collection termination point is in the TCE/OAM</w:t>
            </w:r>
            <w:r w:rsidR="00885F05">
              <w:rPr>
                <w:rFonts w:ascii="Arial" w:hAnsi="Arial" w:cs="Arial"/>
                <w:sz w:val="20"/>
                <w:szCs w:val="20"/>
              </w:rPr>
              <w:t>, and it works</w:t>
            </w:r>
            <w:r w:rsidR="00A7686F">
              <w:rPr>
                <w:rFonts w:ascii="Arial" w:hAnsi="Arial" w:cs="Arial"/>
                <w:sz w:val="20"/>
                <w:szCs w:val="20"/>
              </w:rPr>
              <w:t xml:space="preserve"> in RRC_Connected mode.</w:t>
            </w:r>
            <w:r w:rsidR="00E7471D">
              <w:rPr>
                <w:rFonts w:ascii="Arial" w:hAnsi="Arial" w:cs="Arial"/>
                <w:sz w:val="20"/>
                <w:szCs w:val="20"/>
              </w:rPr>
              <w:t xml:space="preserve"> </w:t>
            </w:r>
            <w:r w:rsidR="00A279DF" w:rsidRPr="00A279DF">
              <w:rPr>
                <w:rFonts w:ascii="Arial" w:hAnsi="Arial" w:cs="Arial"/>
                <w:sz w:val="20"/>
                <w:szCs w:val="20"/>
              </w:rPr>
              <w:t>S</w:t>
            </w:r>
            <w:r w:rsidR="001B1C37" w:rsidRPr="00A279DF">
              <w:rPr>
                <w:rFonts w:ascii="Arial" w:hAnsi="Arial" w:cs="Arial"/>
                <w:sz w:val="20"/>
                <w:szCs w:val="20"/>
              </w:rPr>
              <w:t xml:space="preserve">ome enhancements </w:t>
            </w:r>
            <w:r w:rsidR="00A279DF" w:rsidRPr="00A279DF">
              <w:rPr>
                <w:rFonts w:ascii="Arial" w:hAnsi="Arial" w:cs="Arial"/>
                <w:sz w:val="20"/>
                <w:szCs w:val="20"/>
              </w:rPr>
              <w:t xml:space="preserve">may be potentially needed </w:t>
            </w:r>
            <w:r w:rsidR="001B1C37" w:rsidRPr="00A279DF">
              <w:rPr>
                <w:rFonts w:ascii="Arial" w:hAnsi="Arial" w:cs="Arial"/>
                <w:sz w:val="20"/>
                <w:szCs w:val="20"/>
              </w:rPr>
              <w:t>related to large data volume reporting</w:t>
            </w:r>
          </w:p>
        </w:tc>
        <w:tc>
          <w:tcPr>
            <w:tcW w:w="2410" w:type="dxa"/>
          </w:tcPr>
          <w:p w14:paraId="5287CF99" w14:textId="46401FDF" w:rsidR="00030D98" w:rsidRPr="004B6CA9" w:rsidRDefault="00AE72E8"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w:t>
            </w:r>
            <w:r w:rsidR="00EC1D09">
              <w:rPr>
                <w:rFonts w:ascii="Arial" w:hAnsi="Arial" w:cs="Arial"/>
                <w:sz w:val="20"/>
                <w:szCs w:val="20"/>
              </w:rPr>
              <w:t>No need to report trained results to the OAM for the UE</w:t>
            </w:r>
            <w:r w:rsidR="002460FC" w:rsidRPr="009059E5">
              <w:rPr>
                <w:rFonts w:ascii="Arial" w:hAnsi="Arial" w:cs="Arial"/>
                <w:sz w:val="20"/>
                <w:szCs w:val="20"/>
              </w:rPr>
              <w:t>-side</w:t>
            </w:r>
            <w:r w:rsidR="00EC1D09">
              <w:rPr>
                <w:rFonts w:ascii="Arial" w:hAnsi="Arial" w:cs="Arial"/>
                <w:sz w:val="20"/>
                <w:szCs w:val="20"/>
              </w:rPr>
              <w:t xml:space="preserve"> training.</w:t>
            </w:r>
          </w:p>
        </w:tc>
        <w:tc>
          <w:tcPr>
            <w:tcW w:w="3260" w:type="dxa"/>
          </w:tcPr>
          <w:p w14:paraId="3F33F51A" w14:textId="03F83BE9" w:rsidR="00030D98" w:rsidRPr="008D215F" w:rsidRDefault="00925FD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MDT the initiation of the reporting session and the data collection termination point is in the TCE/OAM.</w:t>
            </w:r>
          </w:p>
        </w:tc>
        <w:tc>
          <w:tcPr>
            <w:tcW w:w="2977" w:type="dxa"/>
          </w:tcPr>
          <w:p w14:paraId="474EBC17" w14:textId="0FECC62A" w:rsidR="00030D98" w:rsidRPr="008D215F" w:rsidRDefault="005B42AB" w:rsidP="00030D98">
            <w:pPr>
              <w:spacing w:after="60"/>
              <w:rPr>
                <w:rFonts w:ascii="Arial" w:hAnsi="Arial" w:cs="Arial"/>
                <w:sz w:val="20"/>
                <w:szCs w:val="20"/>
              </w:rPr>
            </w:pPr>
            <w:r w:rsidRPr="00EB5494">
              <w:rPr>
                <w:rFonts w:ascii="Arial" w:hAnsi="Arial" w:cs="Arial"/>
                <w:b/>
                <w:bCs/>
                <w:sz w:val="20"/>
                <w:szCs w:val="20"/>
                <w:highlight w:val="green"/>
                <w:u w:val="single"/>
              </w:rPr>
              <w:t>Suitable</w:t>
            </w:r>
            <w:r w:rsidR="00AD7F2A" w:rsidRPr="008D215F">
              <w:rPr>
                <w:rFonts w:ascii="Arial" w:hAnsi="Arial" w:cs="Arial"/>
                <w:sz w:val="20"/>
                <w:szCs w:val="20"/>
              </w:rPr>
              <w:t xml:space="preserve">: in </w:t>
            </w:r>
            <w:r w:rsidR="009E0D24" w:rsidRPr="008D215F">
              <w:rPr>
                <w:rFonts w:ascii="Arial" w:hAnsi="Arial" w:cs="Arial"/>
                <w:sz w:val="20"/>
                <w:szCs w:val="20"/>
              </w:rPr>
              <w:t xml:space="preserve">Immediate </w:t>
            </w:r>
            <w:r w:rsidR="00AD7F2A" w:rsidRPr="008D215F">
              <w:rPr>
                <w:rFonts w:ascii="Arial" w:hAnsi="Arial" w:cs="Arial"/>
                <w:sz w:val="20"/>
                <w:szCs w:val="20"/>
              </w:rPr>
              <w:t>MDT</w:t>
            </w:r>
            <w:r w:rsidR="00AA7FAB" w:rsidRPr="008D215F">
              <w:rPr>
                <w:rFonts w:ascii="Arial" w:hAnsi="Arial" w:cs="Arial"/>
                <w:sz w:val="20"/>
                <w:szCs w:val="20"/>
              </w:rPr>
              <w:t>,</w:t>
            </w:r>
            <w:r w:rsidR="00AD7F2A" w:rsidRPr="008D215F">
              <w:rPr>
                <w:rFonts w:ascii="Arial" w:hAnsi="Arial" w:cs="Arial"/>
                <w:sz w:val="20"/>
                <w:szCs w:val="20"/>
              </w:rPr>
              <w:t xml:space="preserve"> the initiation of the reporting session and the data collection termination point </w:t>
            </w:r>
            <w:r w:rsidR="000B2568" w:rsidRPr="008D215F">
              <w:rPr>
                <w:rFonts w:ascii="Arial" w:hAnsi="Arial" w:cs="Arial"/>
                <w:sz w:val="20"/>
                <w:szCs w:val="20"/>
              </w:rPr>
              <w:t>i</w:t>
            </w:r>
            <w:r w:rsidR="00A7686F" w:rsidRPr="008D215F">
              <w:rPr>
                <w:rFonts w:ascii="Arial" w:hAnsi="Arial" w:cs="Arial"/>
                <w:sz w:val="20"/>
                <w:szCs w:val="20"/>
              </w:rPr>
              <w:t>s in the TCE/OAM, and it works in RRC_Connected mode.</w:t>
            </w:r>
          </w:p>
        </w:tc>
        <w:tc>
          <w:tcPr>
            <w:tcW w:w="3827" w:type="dxa"/>
          </w:tcPr>
          <w:p w14:paraId="3292896F" w14:textId="00DDD936" w:rsidR="00030D98" w:rsidRPr="008D215F" w:rsidRDefault="00397FF4"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3AAF4150" w14:textId="6420C53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MDT the initiation of the reporting session and the data collection termination point is in the TCE/OAM.</w:t>
            </w:r>
          </w:p>
        </w:tc>
      </w:tr>
      <w:tr w:rsidR="00030D98" w:rsidRPr="008D215F" w14:paraId="19C64213" w14:textId="77777777" w:rsidTr="00FE476A">
        <w:tc>
          <w:tcPr>
            <w:tcW w:w="2263" w:type="dxa"/>
          </w:tcPr>
          <w:p w14:paraId="196D8CA2" w14:textId="7811ABA5"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L3 </w:t>
            </w:r>
            <w:r w:rsidR="000A0FCE">
              <w:rPr>
                <w:rFonts w:ascii="Arial" w:hAnsi="Arial" w:cs="Arial"/>
                <w:b/>
                <w:bCs/>
                <w:sz w:val="24"/>
                <w:szCs w:val="24"/>
              </w:rPr>
              <w:t>M</w:t>
            </w:r>
            <w:r w:rsidRPr="00B76414">
              <w:rPr>
                <w:rFonts w:ascii="Arial" w:hAnsi="Arial" w:cs="Arial"/>
                <w:b/>
                <w:bCs/>
                <w:sz w:val="24"/>
                <w:szCs w:val="24"/>
              </w:rPr>
              <w:t>easurements</w:t>
            </w:r>
          </w:p>
        </w:tc>
        <w:tc>
          <w:tcPr>
            <w:tcW w:w="3119" w:type="dxa"/>
          </w:tcPr>
          <w:p w14:paraId="1AB8F1E7" w14:textId="5A6E626D" w:rsidR="00030D98" w:rsidRPr="00A5543B" w:rsidRDefault="000D19C0"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xml:space="preserve"> provided that enhancements are introduced</w:t>
            </w:r>
            <w:r w:rsidR="00EB61E5" w:rsidRPr="00A5543B">
              <w:rPr>
                <w:rFonts w:ascii="Arial" w:hAnsi="Arial" w:cs="Arial"/>
                <w:sz w:val="20"/>
                <w:szCs w:val="20"/>
              </w:rPr>
              <w:t xml:space="preserve"> for the reporting </w:t>
            </w:r>
            <w:r w:rsidR="004A5969" w:rsidRPr="00A5543B">
              <w:rPr>
                <w:rFonts w:ascii="Arial" w:hAnsi="Arial" w:cs="Arial"/>
                <w:sz w:val="20"/>
                <w:szCs w:val="20"/>
              </w:rPr>
              <w:t xml:space="preserve">to the gNB </w:t>
            </w:r>
            <w:r w:rsidR="00EB61E5" w:rsidRPr="00A5543B">
              <w:rPr>
                <w:rFonts w:ascii="Arial" w:hAnsi="Arial" w:cs="Arial"/>
                <w:sz w:val="20"/>
                <w:szCs w:val="20"/>
              </w:rPr>
              <w:t>of mult</w:t>
            </w:r>
            <w:r w:rsidR="0082782E">
              <w:rPr>
                <w:rFonts w:ascii="Arial" w:hAnsi="Arial" w:cs="Arial"/>
                <w:sz w:val="20"/>
                <w:szCs w:val="20"/>
              </w:rPr>
              <w:t>i</w:t>
            </w:r>
            <w:r w:rsidR="00EB61E5" w:rsidRPr="00A5543B">
              <w:rPr>
                <w:rFonts w:ascii="Arial" w:hAnsi="Arial" w:cs="Arial"/>
                <w:sz w:val="20"/>
                <w:szCs w:val="20"/>
              </w:rPr>
              <w:t>ple samples of measurements</w:t>
            </w:r>
            <w:r w:rsidRPr="00A5543B">
              <w:rPr>
                <w:rFonts w:ascii="Arial" w:hAnsi="Arial" w:cs="Arial"/>
                <w:sz w:val="20"/>
                <w:szCs w:val="20"/>
              </w:rPr>
              <w:t xml:space="preserve"> </w:t>
            </w:r>
            <w:r w:rsidR="003A3E7E" w:rsidRPr="00A5543B">
              <w:rPr>
                <w:rFonts w:ascii="Arial" w:hAnsi="Arial" w:cs="Arial"/>
                <w:sz w:val="20"/>
                <w:szCs w:val="20"/>
              </w:rPr>
              <w:t>which are stored by the UE during measurement period.</w:t>
            </w:r>
          </w:p>
        </w:tc>
        <w:tc>
          <w:tcPr>
            <w:tcW w:w="2835" w:type="dxa"/>
          </w:tcPr>
          <w:p w14:paraId="4424F698" w14:textId="10E5971C" w:rsidR="00030D98" w:rsidRPr="00A5543B" w:rsidRDefault="00FC05EF"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L3 measurements are configured</w:t>
            </w:r>
            <w:r w:rsidR="00054BA7" w:rsidRPr="00A5543B">
              <w:rPr>
                <w:rFonts w:ascii="Arial" w:hAnsi="Arial" w:cs="Arial"/>
                <w:sz w:val="20"/>
                <w:szCs w:val="20"/>
              </w:rPr>
              <w:t xml:space="preserve"> by the gNB and </w:t>
            </w:r>
            <w:r w:rsidR="002938C7" w:rsidRPr="00A5543B">
              <w:rPr>
                <w:rFonts w:ascii="Arial" w:hAnsi="Arial" w:cs="Arial"/>
                <w:sz w:val="20"/>
                <w:szCs w:val="20"/>
              </w:rPr>
              <w:t>reported to the gNB.</w:t>
            </w:r>
          </w:p>
        </w:tc>
        <w:tc>
          <w:tcPr>
            <w:tcW w:w="2410" w:type="dxa"/>
          </w:tcPr>
          <w:p w14:paraId="59151097" w14:textId="796C4692" w:rsidR="00030D98" w:rsidRPr="004B6CA9" w:rsidRDefault="000B7A7C"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No need to </w:t>
            </w:r>
            <w:r w:rsidR="00D3401B">
              <w:rPr>
                <w:rFonts w:ascii="Arial" w:hAnsi="Arial" w:cs="Arial"/>
                <w:sz w:val="20"/>
                <w:szCs w:val="20"/>
              </w:rPr>
              <w:t>report</w:t>
            </w:r>
            <w:r w:rsidR="003469F5">
              <w:rPr>
                <w:rFonts w:ascii="Arial" w:hAnsi="Arial" w:cs="Arial"/>
                <w:sz w:val="20"/>
                <w:szCs w:val="20"/>
              </w:rPr>
              <w:t xml:space="preserve"> trained results to</w:t>
            </w:r>
            <w:r>
              <w:rPr>
                <w:rFonts w:ascii="Arial" w:hAnsi="Arial" w:cs="Arial"/>
                <w:sz w:val="20"/>
                <w:szCs w:val="20"/>
              </w:rPr>
              <w:t xml:space="preserve"> the </w:t>
            </w:r>
            <w:r w:rsidR="000636B0">
              <w:rPr>
                <w:rFonts w:ascii="Arial" w:hAnsi="Arial" w:cs="Arial"/>
                <w:sz w:val="20"/>
                <w:szCs w:val="20"/>
              </w:rPr>
              <w:t>gNB</w:t>
            </w:r>
            <w:r>
              <w:rPr>
                <w:rFonts w:ascii="Arial" w:hAnsi="Arial" w:cs="Arial"/>
                <w:sz w:val="20"/>
                <w:szCs w:val="20"/>
              </w:rPr>
              <w:t xml:space="preserve"> </w:t>
            </w:r>
            <w:r w:rsidR="00EC1D09">
              <w:rPr>
                <w:rFonts w:ascii="Arial" w:hAnsi="Arial" w:cs="Arial"/>
                <w:sz w:val="20"/>
                <w:szCs w:val="20"/>
              </w:rPr>
              <w:t>for</w:t>
            </w:r>
            <w:r>
              <w:rPr>
                <w:rFonts w:ascii="Arial" w:hAnsi="Arial" w:cs="Arial"/>
                <w:sz w:val="20"/>
                <w:szCs w:val="20"/>
              </w:rPr>
              <w:t xml:space="preserve"> the UE</w:t>
            </w:r>
            <w:r w:rsidR="002460FC" w:rsidRPr="009059E5">
              <w:rPr>
                <w:rFonts w:ascii="Arial" w:hAnsi="Arial" w:cs="Arial"/>
                <w:sz w:val="20"/>
                <w:szCs w:val="20"/>
              </w:rPr>
              <w:t>-side</w:t>
            </w:r>
            <w:r>
              <w:rPr>
                <w:rFonts w:ascii="Arial" w:hAnsi="Arial" w:cs="Arial"/>
                <w:sz w:val="20"/>
                <w:szCs w:val="20"/>
              </w:rPr>
              <w:t xml:space="preserve"> training.</w:t>
            </w:r>
          </w:p>
        </w:tc>
        <w:tc>
          <w:tcPr>
            <w:tcW w:w="3260" w:type="dxa"/>
          </w:tcPr>
          <w:p w14:paraId="182A55DD" w14:textId="616192E2" w:rsidR="00030D98" w:rsidRPr="008D215F" w:rsidRDefault="00891B11"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xml:space="preserve">: </w:t>
            </w:r>
            <w:r w:rsidR="006D7FCC" w:rsidRPr="008D215F">
              <w:rPr>
                <w:rFonts w:ascii="Arial" w:hAnsi="Arial" w:cs="Arial"/>
                <w:sz w:val="20"/>
                <w:szCs w:val="20"/>
              </w:rPr>
              <w:t>up to RAN1 to discuss what enhancements are needed.</w:t>
            </w:r>
          </w:p>
        </w:tc>
        <w:tc>
          <w:tcPr>
            <w:tcW w:w="2977" w:type="dxa"/>
          </w:tcPr>
          <w:p w14:paraId="2B2CAD11" w14:textId="4C03381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L3 measurements are configured by the gNB and reported to the gNB.</w:t>
            </w:r>
          </w:p>
        </w:tc>
        <w:tc>
          <w:tcPr>
            <w:tcW w:w="3827" w:type="dxa"/>
          </w:tcPr>
          <w:p w14:paraId="6BF83E57" w14:textId="1C9F3DC9" w:rsidR="00030D98" w:rsidRPr="008D215F" w:rsidRDefault="005A6144"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L3 measurements are</w:t>
            </w:r>
            <w:r w:rsidR="00B904C7">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D7C6F4A" w14:textId="2BB9D0B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w:t>
            </w:r>
            <w:r w:rsidR="004E3666" w:rsidRPr="00875A72">
              <w:rPr>
                <w:rFonts w:ascii="Arial" w:hAnsi="Arial" w:cs="Arial"/>
                <w:sz w:val="20"/>
                <w:szCs w:val="20"/>
              </w:rPr>
              <w:t xml:space="preserve"> L3 measurements</w:t>
            </w:r>
            <w:r w:rsidR="00050B39" w:rsidRPr="00875A72">
              <w:rPr>
                <w:rFonts w:ascii="Arial" w:hAnsi="Arial" w:cs="Arial"/>
                <w:sz w:val="20"/>
                <w:szCs w:val="20"/>
              </w:rPr>
              <w:t xml:space="preserve"> can be used by the UE to report its </w:t>
            </w:r>
            <w:r w:rsidR="00D2676A" w:rsidRPr="00875A72">
              <w:rPr>
                <w:rFonts w:ascii="Arial" w:hAnsi="Arial" w:cs="Arial"/>
                <w:sz w:val="20"/>
                <w:szCs w:val="20"/>
              </w:rPr>
              <w:t>model/fun</w:t>
            </w:r>
            <w:r w:rsidR="009D014F">
              <w:rPr>
                <w:rFonts w:ascii="Arial" w:hAnsi="Arial" w:cs="Arial"/>
                <w:sz w:val="20"/>
                <w:szCs w:val="20"/>
              </w:rPr>
              <w:t>c</w:t>
            </w:r>
            <w:r w:rsidR="00D2676A" w:rsidRPr="00875A72">
              <w:rPr>
                <w:rFonts w:ascii="Arial" w:hAnsi="Arial" w:cs="Arial"/>
                <w:sz w:val="20"/>
                <w:szCs w:val="20"/>
              </w:rPr>
              <w:t xml:space="preserve">tion </w:t>
            </w:r>
            <w:r w:rsidR="00050B39" w:rsidRPr="00875A72">
              <w:rPr>
                <w:rFonts w:ascii="Arial" w:hAnsi="Arial" w:cs="Arial"/>
                <w:sz w:val="20"/>
                <w:szCs w:val="20"/>
              </w:rPr>
              <w:t>applicability</w:t>
            </w:r>
            <w:r w:rsidR="00D2676A" w:rsidRPr="00875A72">
              <w:rPr>
                <w:rFonts w:ascii="Arial" w:hAnsi="Arial" w:cs="Arial"/>
                <w:sz w:val="20"/>
                <w:szCs w:val="20"/>
              </w:rPr>
              <w:t xml:space="preserve"> conditions</w:t>
            </w:r>
            <w:r w:rsidR="00050B39" w:rsidRPr="00875A72">
              <w:rPr>
                <w:rFonts w:ascii="Arial" w:hAnsi="Arial" w:cs="Arial"/>
                <w:sz w:val="20"/>
                <w:szCs w:val="20"/>
              </w:rPr>
              <w:t xml:space="preserve">, </w:t>
            </w:r>
            <w:r w:rsidR="008C7EA7">
              <w:rPr>
                <w:rFonts w:ascii="Arial" w:hAnsi="Arial" w:cs="Arial"/>
                <w:sz w:val="20"/>
                <w:szCs w:val="20"/>
              </w:rPr>
              <w:t>performance monitoring results</w:t>
            </w:r>
            <w:r w:rsidR="00AE076A" w:rsidRPr="00875A72">
              <w:rPr>
                <w:rFonts w:ascii="Arial" w:hAnsi="Arial" w:cs="Arial"/>
                <w:sz w:val="20"/>
                <w:szCs w:val="20"/>
              </w:rPr>
              <w:t xml:space="preserve">. </w:t>
            </w:r>
            <w:r w:rsidR="00BC4179" w:rsidRPr="00875A72">
              <w:rPr>
                <w:rFonts w:ascii="Arial" w:hAnsi="Arial" w:cs="Arial"/>
                <w:sz w:val="20"/>
                <w:szCs w:val="20"/>
              </w:rPr>
              <w:t xml:space="preserve">FFS in RAN1/2 </w:t>
            </w:r>
            <w:r w:rsidR="001C5420" w:rsidRPr="00875A72">
              <w:rPr>
                <w:rFonts w:ascii="Arial" w:hAnsi="Arial" w:cs="Arial"/>
                <w:sz w:val="20"/>
                <w:szCs w:val="20"/>
              </w:rPr>
              <w:t>what should be reported.</w:t>
            </w:r>
          </w:p>
        </w:tc>
      </w:tr>
      <w:tr w:rsidR="00030D98" w:rsidRPr="008D215F" w14:paraId="529382EB" w14:textId="77777777" w:rsidTr="00FE476A">
        <w:tc>
          <w:tcPr>
            <w:tcW w:w="2263" w:type="dxa"/>
          </w:tcPr>
          <w:p w14:paraId="65E1A4B9" w14:textId="76D799BE"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L1 </w:t>
            </w:r>
            <w:r w:rsidR="000A0FCE">
              <w:rPr>
                <w:rFonts w:ascii="Arial" w:hAnsi="Arial" w:cs="Arial"/>
                <w:b/>
                <w:bCs/>
                <w:sz w:val="24"/>
                <w:szCs w:val="24"/>
              </w:rPr>
              <w:t>M</w:t>
            </w:r>
            <w:r w:rsidRPr="00B76414">
              <w:rPr>
                <w:rFonts w:ascii="Arial" w:hAnsi="Arial" w:cs="Arial"/>
                <w:b/>
                <w:bCs/>
                <w:sz w:val="24"/>
                <w:szCs w:val="24"/>
              </w:rPr>
              <w:t>easurement (CSI reporting)</w:t>
            </w:r>
          </w:p>
        </w:tc>
        <w:tc>
          <w:tcPr>
            <w:tcW w:w="3119" w:type="dxa"/>
          </w:tcPr>
          <w:p w14:paraId="1C793489" w14:textId="182E15A0" w:rsidR="00030D98" w:rsidRPr="00A5543B" w:rsidRDefault="00D16C3C"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006A1D68" w:rsidRPr="00A5543B">
              <w:rPr>
                <w:rFonts w:ascii="Arial" w:hAnsi="Arial" w:cs="Arial"/>
                <w:sz w:val="20"/>
                <w:szCs w:val="20"/>
              </w:rPr>
              <w:t>there are no</w:t>
            </w:r>
            <w:r w:rsidR="00F61C8D">
              <w:rPr>
                <w:rFonts w:ascii="Arial" w:hAnsi="Arial" w:cs="Arial"/>
                <w:sz w:val="20"/>
                <w:szCs w:val="20"/>
              </w:rPr>
              <w:t xml:space="preserve"> </w:t>
            </w:r>
            <w:r w:rsidR="006A1D68" w:rsidRPr="00A5543B">
              <w:rPr>
                <w:rFonts w:ascii="Arial" w:hAnsi="Arial" w:cs="Arial"/>
                <w:sz w:val="20"/>
                <w:szCs w:val="20"/>
              </w:rPr>
              <w:t>stringent latency requirements for training, and data overhead</w:t>
            </w:r>
            <w:r w:rsidR="002519CB" w:rsidRPr="00A5543B">
              <w:rPr>
                <w:rFonts w:ascii="Arial" w:hAnsi="Arial" w:cs="Arial"/>
                <w:sz w:val="20"/>
                <w:szCs w:val="20"/>
              </w:rPr>
              <w:t xml:space="preserve"> can be an issue.</w:t>
            </w:r>
          </w:p>
        </w:tc>
        <w:tc>
          <w:tcPr>
            <w:tcW w:w="2835" w:type="dxa"/>
          </w:tcPr>
          <w:p w14:paraId="70E131C0" w14:textId="2AC6810C" w:rsidR="00030D98" w:rsidRPr="00A5543B" w:rsidRDefault="002519C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L1 measurements are configured by the gNB and reported to the gNB.</w:t>
            </w:r>
          </w:p>
        </w:tc>
        <w:tc>
          <w:tcPr>
            <w:tcW w:w="2410" w:type="dxa"/>
          </w:tcPr>
          <w:p w14:paraId="0A3E859E" w14:textId="235A54F6" w:rsidR="00030D98" w:rsidRPr="004B6CA9" w:rsidRDefault="00121BB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w:t>
            </w:r>
            <w:r w:rsidR="002460FC" w:rsidRPr="009059E5">
              <w:rPr>
                <w:rFonts w:ascii="Arial" w:hAnsi="Arial" w:cs="Arial"/>
                <w:sz w:val="20"/>
                <w:szCs w:val="20"/>
              </w:rPr>
              <w:t>-side</w:t>
            </w:r>
            <w:r>
              <w:rPr>
                <w:rFonts w:ascii="Arial" w:hAnsi="Arial" w:cs="Arial"/>
                <w:sz w:val="20"/>
                <w:szCs w:val="20"/>
              </w:rPr>
              <w:t xml:space="preserve"> training.</w:t>
            </w:r>
          </w:p>
        </w:tc>
        <w:tc>
          <w:tcPr>
            <w:tcW w:w="3260" w:type="dxa"/>
          </w:tcPr>
          <w:p w14:paraId="1B98C369" w14:textId="2FDF90DC" w:rsidR="00030D98" w:rsidRPr="008D215F" w:rsidRDefault="000A4879"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up to RAN1 to discuss what enhancements are needed.</w:t>
            </w:r>
          </w:p>
        </w:tc>
        <w:tc>
          <w:tcPr>
            <w:tcW w:w="2977" w:type="dxa"/>
          </w:tcPr>
          <w:p w14:paraId="4E8D51C9" w14:textId="50B987B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L1 measurements are configured by the gNB and reported to the gNB.</w:t>
            </w:r>
          </w:p>
        </w:tc>
        <w:tc>
          <w:tcPr>
            <w:tcW w:w="3827" w:type="dxa"/>
          </w:tcPr>
          <w:p w14:paraId="1E87602B" w14:textId="689778EA" w:rsidR="00030D98" w:rsidRPr="008D215F" w:rsidRDefault="0081742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w:t>
            </w:r>
            <w:r>
              <w:rPr>
                <w:rFonts w:ascii="Arial" w:hAnsi="Arial" w:cs="Arial"/>
                <w:sz w:val="20"/>
                <w:szCs w:val="20"/>
              </w:rPr>
              <w:t>1</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4A81046C" w14:textId="5595B9E6" w:rsidR="00030D98" w:rsidRPr="00875A72" w:rsidRDefault="00E5662F" w:rsidP="00030D98">
            <w:pPr>
              <w:spacing w:after="60"/>
              <w:rPr>
                <w:rFonts w:ascii="Arial" w:hAnsi="Arial" w:cs="Arial"/>
                <w:sz w:val="20"/>
                <w:szCs w:val="20"/>
              </w:rPr>
            </w:pPr>
            <w:r w:rsidRPr="006E45C8">
              <w:rPr>
                <w:rFonts w:ascii="Arial" w:hAnsi="Arial" w:cs="Arial"/>
                <w:b/>
                <w:bCs/>
                <w:sz w:val="20"/>
                <w:szCs w:val="20"/>
                <w:highlight w:val="red"/>
                <w:u w:val="single"/>
              </w:rPr>
              <w:t>Not suitable</w:t>
            </w:r>
            <w:r w:rsidRPr="00875A72">
              <w:rPr>
                <w:rFonts w:ascii="Arial" w:hAnsi="Arial" w:cs="Arial"/>
                <w:sz w:val="20"/>
                <w:szCs w:val="20"/>
              </w:rPr>
              <w:t xml:space="preserve">: </w:t>
            </w:r>
            <w:r w:rsidR="00EC16EC" w:rsidRPr="00875A72">
              <w:rPr>
                <w:rFonts w:ascii="Arial" w:hAnsi="Arial" w:cs="Arial"/>
                <w:sz w:val="20"/>
                <w:szCs w:val="20"/>
              </w:rPr>
              <w:t>For the reporting of model/fucntion applicability conditions, accuracy performance, or desired configurations</w:t>
            </w:r>
            <w:r w:rsidR="001F428F" w:rsidRPr="00875A72">
              <w:rPr>
                <w:rFonts w:ascii="Arial" w:hAnsi="Arial" w:cs="Arial"/>
                <w:sz w:val="20"/>
                <w:szCs w:val="20"/>
              </w:rPr>
              <w:t xml:space="preserve">, L3 measurements </w:t>
            </w:r>
            <w:r w:rsidR="00584D05" w:rsidRPr="00875A72">
              <w:rPr>
                <w:rFonts w:ascii="Arial" w:hAnsi="Arial" w:cs="Arial"/>
                <w:sz w:val="20"/>
                <w:szCs w:val="20"/>
              </w:rPr>
              <w:t xml:space="preserve">or UAI </w:t>
            </w:r>
            <w:r w:rsidR="001F428F" w:rsidRPr="00875A72">
              <w:rPr>
                <w:rFonts w:ascii="Arial" w:hAnsi="Arial" w:cs="Arial"/>
                <w:sz w:val="20"/>
                <w:szCs w:val="20"/>
              </w:rPr>
              <w:t>seem more sutiable from RAN2 point of view. This assumption can be revisited based on RAN1 progress.</w:t>
            </w:r>
          </w:p>
        </w:tc>
      </w:tr>
      <w:tr w:rsidR="00030D98" w:rsidRPr="008D215F" w14:paraId="60A9F2D1" w14:textId="77777777" w:rsidTr="00FE476A">
        <w:tc>
          <w:tcPr>
            <w:tcW w:w="2263" w:type="dxa"/>
          </w:tcPr>
          <w:p w14:paraId="058B3B18" w14:textId="13B7DF48" w:rsidR="00030D98" w:rsidRPr="00B76414" w:rsidRDefault="00030D98" w:rsidP="00030D98">
            <w:pPr>
              <w:rPr>
                <w:rFonts w:ascii="Arial" w:hAnsi="Arial" w:cs="Arial"/>
                <w:b/>
                <w:bCs/>
                <w:sz w:val="24"/>
                <w:szCs w:val="24"/>
              </w:rPr>
            </w:pPr>
            <w:r w:rsidRPr="00B76414">
              <w:rPr>
                <w:rFonts w:ascii="Arial" w:hAnsi="Arial" w:cs="Arial"/>
                <w:b/>
                <w:bCs/>
                <w:sz w:val="24"/>
                <w:szCs w:val="24"/>
              </w:rPr>
              <w:t>UAI</w:t>
            </w:r>
          </w:p>
        </w:tc>
        <w:tc>
          <w:tcPr>
            <w:tcW w:w="3119" w:type="dxa"/>
          </w:tcPr>
          <w:p w14:paraId="4966C0BD" w14:textId="00989C7B" w:rsidR="00030D98" w:rsidRPr="00A5543B" w:rsidRDefault="00B615A2"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B473E9" w:rsidRPr="00A5543B">
              <w:rPr>
                <w:rFonts w:ascii="Arial" w:hAnsi="Arial" w:cs="Arial"/>
                <w:sz w:val="20"/>
                <w:szCs w:val="20"/>
              </w:rPr>
              <w:t xml:space="preserve">: in legacy the information reported in the </w:t>
            </w:r>
            <w:r w:rsidR="00BF100C" w:rsidRPr="00A5543B">
              <w:rPr>
                <w:rFonts w:ascii="Arial" w:hAnsi="Arial" w:cs="Arial"/>
                <w:sz w:val="20"/>
                <w:szCs w:val="20"/>
              </w:rPr>
              <w:t xml:space="preserve">UAI </w:t>
            </w:r>
            <w:r w:rsidR="00D91D4A" w:rsidRPr="00A5543B">
              <w:rPr>
                <w:rFonts w:ascii="Arial" w:hAnsi="Arial" w:cs="Arial"/>
                <w:sz w:val="20"/>
                <w:szCs w:val="20"/>
              </w:rPr>
              <w:t xml:space="preserve">and the triggering conditions for the reporting, </w:t>
            </w:r>
            <w:r w:rsidR="00BF100C" w:rsidRPr="00A5543B">
              <w:rPr>
                <w:rFonts w:ascii="Arial" w:hAnsi="Arial" w:cs="Arial"/>
                <w:sz w:val="20"/>
                <w:szCs w:val="20"/>
              </w:rPr>
              <w:t>are typically left</w:t>
            </w:r>
            <w:r w:rsidR="00D91D4A" w:rsidRPr="00A5543B">
              <w:rPr>
                <w:rFonts w:ascii="Arial" w:hAnsi="Arial" w:cs="Arial"/>
                <w:sz w:val="20"/>
                <w:szCs w:val="20"/>
              </w:rPr>
              <w:t xml:space="preserve"> to the UE implementation. Hence, it </w:t>
            </w:r>
            <w:r w:rsidR="003267E6" w:rsidRPr="00A5543B">
              <w:rPr>
                <w:rFonts w:ascii="Arial" w:hAnsi="Arial" w:cs="Arial"/>
                <w:sz w:val="20"/>
                <w:szCs w:val="20"/>
              </w:rPr>
              <w:t>is not clear what would be the gain of UAI versus L3 measurements.</w:t>
            </w:r>
          </w:p>
        </w:tc>
        <w:tc>
          <w:tcPr>
            <w:tcW w:w="2835" w:type="dxa"/>
          </w:tcPr>
          <w:p w14:paraId="05FCF545" w14:textId="7A76F918" w:rsidR="00030D98" w:rsidRPr="00A5543B" w:rsidRDefault="00C97549" w:rsidP="00030D98">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:UAI are configured by the gNB and reported to the gNB.</w:t>
            </w:r>
          </w:p>
        </w:tc>
        <w:tc>
          <w:tcPr>
            <w:tcW w:w="2410" w:type="dxa"/>
          </w:tcPr>
          <w:p w14:paraId="545A0D0A" w14:textId="5BD4A131" w:rsidR="00030D98" w:rsidRPr="00AC59DA" w:rsidRDefault="00E35A91" w:rsidP="00030D98">
            <w:pPr>
              <w:spacing w:after="60"/>
              <w:rPr>
                <w:rFonts w:ascii="Arial" w:hAnsi="Arial" w:cs="Arial"/>
                <w:sz w:val="20"/>
                <w:szCs w:val="20"/>
              </w:rPr>
            </w:pPr>
            <w:r w:rsidRPr="00AC59DA">
              <w:rPr>
                <w:rFonts w:ascii="Arial" w:hAnsi="Arial" w:cs="Arial"/>
                <w:b/>
                <w:bCs/>
                <w:sz w:val="20"/>
                <w:szCs w:val="20"/>
                <w:highlight w:val="green"/>
                <w:u w:val="single"/>
              </w:rPr>
              <w:t>Suitable</w:t>
            </w:r>
            <w:r w:rsidR="00370EEE" w:rsidRPr="00AC59DA">
              <w:rPr>
                <w:rFonts w:ascii="Arial" w:hAnsi="Arial" w:cs="Arial"/>
                <w:sz w:val="20"/>
                <w:szCs w:val="20"/>
              </w:rPr>
              <w:t xml:space="preserve">: </w:t>
            </w:r>
            <w:r w:rsidR="00D15D5A" w:rsidRPr="00AC59DA">
              <w:rPr>
                <w:rFonts w:ascii="Arial" w:hAnsi="Arial" w:cs="Arial"/>
                <w:sz w:val="20"/>
                <w:szCs w:val="20"/>
              </w:rPr>
              <w:t xml:space="preserve">The UE can use UAI </w:t>
            </w:r>
            <w:r w:rsidR="008D38B4" w:rsidRPr="00AC59DA">
              <w:rPr>
                <w:rFonts w:ascii="Arial" w:hAnsi="Arial" w:cs="Arial"/>
                <w:sz w:val="20"/>
                <w:szCs w:val="20"/>
              </w:rPr>
              <w:t xml:space="preserve">to request to the gNB </w:t>
            </w:r>
            <w:r w:rsidR="00E74A36">
              <w:rPr>
                <w:rFonts w:ascii="Arial" w:hAnsi="Arial" w:cs="Arial"/>
                <w:sz w:val="20"/>
                <w:szCs w:val="20"/>
              </w:rPr>
              <w:t>some</w:t>
            </w:r>
            <w:r w:rsidR="008D38B4" w:rsidRPr="00AC59DA">
              <w:rPr>
                <w:rFonts w:ascii="Arial" w:hAnsi="Arial" w:cs="Arial"/>
                <w:sz w:val="20"/>
                <w:szCs w:val="20"/>
              </w:rPr>
              <w:t xml:space="preserve"> desired configuration</w:t>
            </w:r>
            <w:r w:rsidR="00E74A36">
              <w:rPr>
                <w:rFonts w:ascii="Arial" w:hAnsi="Arial" w:cs="Arial"/>
                <w:sz w:val="20"/>
                <w:szCs w:val="20"/>
              </w:rPr>
              <w:t>s</w:t>
            </w:r>
            <w:r w:rsidR="008D38B4" w:rsidRPr="00AC59DA">
              <w:rPr>
                <w:rFonts w:ascii="Arial" w:hAnsi="Arial" w:cs="Arial"/>
                <w:sz w:val="20"/>
                <w:szCs w:val="20"/>
              </w:rPr>
              <w:t xml:space="preserve"> in order to train the UE model.</w:t>
            </w:r>
          </w:p>
        </w:tc>
        <w:tc>
          <w:tcPr>
            <w:tcW w:w="3260" w:type="dxa"/>
          </w:tcPr>
          <w:p w14:paraId="1DB32295" w14:textId="74FE269B" w:rsidR="00030D98" w:rsidRPr="008D215F" w:rsidRDefault="00A351BA"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information reported in the UAI and the triggering conditions for the reporting, are typically left to the UE implementation. Hence, it is not clear what would be the gain of UAI versus L3</w:t>
            </w:r>
            <w:r w:rsidR="004E7450" w:rsidRPr="008D215F">
              <w:rPr>
                <w:rFonts w:ascii="Arial" w:hAnsi="Arial" w:cs="Arial"/>
                <w:sz w:val="20"/>
                <w:szCs w:val="20"/>
              </w:rPr>
              <w:t>/L1</w:t>
            </w:r>
            <w:r w:rsidRPr="008D215F">
              <w:rPr>
                <w:rFonts w:ascii="Arial" w:hAnsi="Arial" w:cs="Arial"/>
                <w:sz w:val="20"/>
                <w:szCs w:val="20"/>
              </w:rPr>
              <w:t xml:space="preserve"> measurements.</w:t>
            </w:r>
          </w:p>
        </w:tc>
        <w:tc>
          <w:tcPr>
            <w:tcW w:w="2977" w:type="dxa"/>
          </w:tcPr>
          <w:p w14:paraId="7C4281D2" w14:textId="1EBE275C"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:UAI are configured by the gNB and reported to the gNB.</w:t>
            </w:r>
          </w:p>
        </w:tc>
        <w:tc>
          <w:tcPr>
            <w:tcW w:w="3827" w:type="dxa"/>
          </w:tcPr>
          <w:p w14:paraId="1E7B515F" w14:textId="13CFF4D9" w:rsidR="00030D98" w:rsidRPr="008D215F" w:rsidRDefault="00C2045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UAI</w:t>
            </w:r>
            <w:r w:rsidRPr="008D215F">
              <w:rPr>
                <w:rFonts w:ascii="Arial" w:hAnsi="Arial" w:cs="Arial"/>
                <w:sz w:val="20"/>
                <w:szCs w:val="20"/>
              </w:rPr>
              <w:t xml:space="preserve"> </w:t>
            </w:r>
            <w:r>
              <w:rPr>
                <w:rFonts w:ascii="Arial" w:hAnsi="Arial" w:cs="Arial"/>
                <w:sz w:val="20"/>
                <w:szCs w:val="20"/>
              </w:rPr>
              <w:t>is not applicable because it is reported to</w:t>
            </w:r>
            <w:r w:rsidRPr="008D215F">
              <w:rPr>
                <w:rFonts w:ascii="Arial" w:hAnsi="Arial" w:cs="Arial"/>
                <w:sz w:val="20"/>
                <w:szCs w:val="20"/>
              </w:rPr>
              <w:t xml:space="preserve"> the gNB.</w:t>
            </w:r>
          </w:p>
        </w:tc>
        <w:tc>
          <w:tcPr>
            <w:tcW w:w="4961" w:type="dxa"/>
          </w:tcPr>
          <w:p w14:paraId="7BED7B8E" w14:textId="6A34EDFA" w:rsidR="00030D98" w:rsidRPr="00875A72" w:rsidRDefault="00963E9D"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 UAI can be used by the UE to report its model/fun</w:t>
            </w:r>
            <w:r w:rsidR="006324CD">
              <w:rPr>
                <w:rFonts w:ascii="Arial" w:hAnsi="Arial" w:cs="Arial"/>
                <w:sz w:val="20"/>
                <w:szCs w:val="20"/>
              </w:rPr>
              <w:t>c</w:t>
            </w:r>
            <w:r w:rsidRPr="00875A72">
              <w:rPr>
                <w:rFonts w:ascii="Arial" w:hAnsi="Arial" w:cs="Arial"/>
                <w:sz w:val="20"/>
                <w:szCs w:val="20"/>
              </w:rPr>
              <w:t xml:space="preserve">tion applicability conditions, </w:t>
            </w:r>
            <w:r w:rsidR="00A50E52">
              <w:rPr>
                <w:rFonts w:ascii="Arial" w:hAnsi="Arial" w:cs="Arial"/>
                <w:sz w:val="20"/>
                <w:szCs w:val="20"/>
              </w:rPr>
              <w:t>performance monitoring results</w:t>
            </w:r>
            <w:r w:rsidRPr="00875A72">
              <w:rPr>
                <w:rFonts w:ascii="Arial" w:hAnsi="Arial" w:cs="Arial"/>
                <w:sz w:val="20"/>
                <w:szCs w:val="20"/>
              </w:rPr>
              <w:t>. FFS in RAN1/2 what should be reported.</w:t>
            </w:r>
            <w:r w:rsidR="007C01ED">
              <w:rPr>
                <w:rFonts w:ascii="Arial" w:hAnsi="Arial" w:cs="Arial"/>
                <w:sz w:val="20"/>
                <w:szCs w:val="20"/>
              </w:rPr>
              <w:t xml:space="preserve"> However, since L3 measurements can also be used for the same purpose, RAN2 should </w:t>
            </w:r>
            <w:r w:rsidR="000124A5">
              <w:rPr>
                <w:rFonts w:ascii="Arial" w:hAnsi="Arial" w:cs="Arial"/>
                <w:sz w:val="20"/>
                <w:szCs w:val="20"/>
              </w:rPr>
              <w:t xml:space="preserve">discuss whether L3 measurements or UAI </w:t>
            </w:r>
            <w:r w:rsidR="00A62364">
              <w:rPr>
                <w:rFonts w:ascii="Arial" w:hAnsi="Arial" w:cs="Arial"/>
                <w:sz w:val="20"/>
                <w:szCs w:val="20"/>
              </w:rPr>
              <w:t>is more suitable.</w:t>
            </w:r>
          </w:p>
        </w:tc>
      </w:tr>
      <w:tr w:rsidR="00B9632C" w:rsidRPr="00875A72" w14:paraId="1588CF36" w14:textId="77777777" w:rsidTr="00A55232">
        <w:tc>
          <w:tcPr>
            <w:tcW w:w="2263" w:type="dxa"/>
          </w:tcPr>
          <w:p w14:paraId="0DEE2145" w14:textId="77777777" w:rsidR="00B9632C" w:rsidRPr="00B76414" w:rsidRDefault="00B9632C" w:rsidP="00A55232">
            <w:pPr>
              <w:rPr>
                <w:rFonts w:ascii="Arial" w:hAnsi="Arial" w:cs="Arial"/>
                <w:b/>
                <w:bCs/>
                <w:sz w:val="24"/>
                <w:szCs w:val="24"/>
              </w:rPr>
            </w:pPr>
            <w:r w:rsidRPr="00B76414">
              <w:rPr>
                <w:rFonts w:ascii="Arial" w:hAnsi="Arial" w:cs="Arial"/>
                <w:b/>
                <w:bCs/>
                <w:sz w:val="24"/>
                <w:szCs w:val="24"/>
              </w:rPr>
              <w:lastRenderedPageBreak/>
              <w:t xml:space="preserve">Early </w:t>
            </w:r>
            <w:r>
              <w:rPr>
                <w:rFonts w:ascii="Arial" w:hAnsi="Arial" w:cs="Arial"/>
                <w:b/>
                <w:bCs/>
                <w:sz w:val="24"/>
                <w:szCs w:val="24"/>
              </w:rPr>
              <w:t>M</w:t>
            </w:r>
            <w:r w:rsidRPr="00B76414">
              <w:rPr>
                <w:rFonts w:ascii="Arial" w:hAnsi="Arial" w:cs="Arial"/>
                <w:b/>
                <w:bCs/>
                <w:sz w:val="24"/>
                <w:szCs w:val="24"/>
              </w:rPr>
              <w:t>easurements</w:t>
            </w:r>
          </w:p>
        </w:tc>
        <w:tc>
          <w:tcPr>
            <w:tcW w:w="3119" w:type="dxa"/>
          </w:tcPr>
          <w:p w14:paraId="037F0260" w14:textId="77777777" w:rsidR="00B9632C" w:rsidRPr="00A5543B" w:rsidRDefault="00B9632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legacy the early measurements are collected while in IDLE/INACTIVE mode. So it is not clear what would be the gain of Early Measurements versus L3 measurements</w:t>
            </w:r>
          </w:p>
        </w:tc>
        <w:tc>
          <w:tcPr>
            <w:tcW w:w="2835" w:type="dxa"/>
          </w:tcPr>
          <w:p w14:paraId="3A8ADA18" w14:textId="77777777" w:rsidR="00B9632C" w:rsidRPr="00A5543B" w:rsidRDefault="00B9632C" w:rsidP="00A55232">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 early measurements are configured by the gNB and reported to the gNB.</w:t>
            </w:r>
          </w:p>
        </w:tc>
        <w:tc>
          <w:tcPr>
            <w:tcW w:w="2410" w:type="dxa"/>
          </w:tcPr>
          <w:p w14:paraId="7BDD8D8D" w14:textId="7AA5D8C7" w:rsidR="00B9632C" w:rsidRPr="004B6CA9"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w:t>
            </w:r>
            <w:r w:rsidR="002460FC">
              <w:t>-</w:t>
            </w:r>
            <w:r w:rsidR="002460FC" w:rsidRPr="00D320B9">
              <w:t>side</w:t>
            </w:r>
            <w:r>
              <w:rPr>
                <w:rFonts w:ascii="Arial" w:hAnsi="Arial" w:cs="Arial"/>
                <w:sz w:val="20"/>
                <w:szCs w:val="20"/>
              </w:rPr>
              <w:t xml:space="preserve"> training.</w:t>
            </w:r>
          </w:p>
        </w:tc>
        <w:tc>
          <w:tcPr>
            <w:tcW w:w="3260" w:type="dxa"/>
          </w:tcPr>
          <w:p w14:paraId="7D8C5B52" w14:textId="37B430E4"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early measurements are collected while in IDLE/INACTIVE mode, whereas performance monitoring of NW</w:t>
            </w:r>
            <w:r w:rsidR="002460FC">
              <w:t>-</w:t>
            </w:r>
            <w:r w:rsidR="002460FC" w:rsidRPr="00D320B9">
              <w:t>side</w:t>
            </w:r>
            <w:r w:rsidRPr="008D215F">
              <w:rPr>
                <w:rFonts w:ascii="Arial" w:hAnsi="Arial" w:cs="Arial"/>
                <w:sz w:val="20"/>
                <w:szCs w:val="20"/>
              </w:rPr>
              <w:t xml:space="preserve"> models should be based on UE operations while in connected mode.</w:t>
            </w:r>
          </w:p>
        </w:tc>
        <w:tc>
          <w:tcPr>
            <w:tcW w:w="2977" w:type="dxa"/>
          </w:tcPr>
          <w:p w14:paraId="0C9857CC"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early measurements are configured by the gNB and reported to the gNB.</w:t>
            </w:r>
          </w:p>
        </w:tc>
        <w:tc>
          <w:tcPr>
            <w:tcW w:w="3827" w:type="dxa"/>
          </w:tcPr>
          <w:p w14:paraId="4B6CDC17"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early</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A4433ED" w14:textId="77777777" w:rsidR="00B9632C" w:rsidRPr="00875A72" w:rsidRDefault="00B9632C" w:rsidP="00A55232">
            <w:pPr>
              <w:keepNext/>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legacy the early measurements are collected while in IDLE/INACTIVE mode. So it is not clear what would be the gain of Early Measurements versus L3 measurements reporting or UAI.</w:t>
            </w:r>
          </w:p>
        </w:tc>
      </w:tr>
      <w:tr w:rsidR="00396F70" w:rsidRPr="00875A72" w14:paraId="3E6912FE" w14:textId="77777777" w:rsidTr="00A55232">
        <w:tc>
          <w:tcPr>
            <w:tcW w:w="2263" w:type="dxa"/>
          </w:tcPr>
          <w:p w14:paraId="5998B92B" w14:textId="77777777" w:rsidR="00396F70" w:rsidRPr="00B76414" w:rsidRDefault="00396F70" w:rsidP="00A55232">
            <w:pPr>
              <w:rPr>
                <w:rFonts w:ascii="Arial" w:hAnsi="Arial" w:cs="Arial"/>
                <w:b/>
                <w:bCs/>
                <w:sz w:val="24"/>
                <w:szCs w:val="24"/>
              </w:rPr>
            </w:pPr>
            <w:r>
              <w:rPr>
                <w:rFonts w:ascii="Arial" w:hAnsi="Arial" w:cs="Arial"/>
                <w:b/>
                <w:bCs/>
                <w:sz w:val="24"/>
                <w:szCs w:val="24"/>
              </w:rPr>
              <w:t>LPP</w:t>
            </w:r>
          </w:p>
        </w:tc>
        <w:tc>
          <w:tcPr>
            <w:tcW w:w="3119" w:type="dxa"/>
          </w:tcPr>
          <w:p w14:paraId="530489D3" w14:textId="77777777" w:rsidR="00396F70" w:rsidRPr="00F923D7"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2835" w:type="dxa"/>
          </w:tcPr>
          <w:p w14:paraId="7028505F" w14:textId="77777777" w:rsidR="00396F70" w:rsidRPr="00A5543B"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2410" w:type="dxa"/>
          </w:tcPr>
          <w:p w14:paraId="55A03BDB" w14:textId="77777777" w:rsidR="00396F70" w:rsidRPr="004B6CA9"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3260" w:type="dxa"/>
          </w:tcPr>
          <w:p w14:paraId="7F251766"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r w:rsidRPr="008D215F">
              <w:rPr>
                <w:rFonts w:ascii="Arial" w:hAnsi="Arial" w:cs="Arial"/>
                <w:sz w:val="20"/>
                <w:szCs w:val="20"/>
              </w:rPr>
              <w:t>.</w:t>
            </w:r>
          </w:p>
        </w:tc>
        <w:tc>
          <w:tcPr>
            <w:tcW w:w="2977" w:type="dxa"/>
          </w:tcPr>
          <w:p w14:paraId="4CFF91E6"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3827" w:type="dxa"/>
          </w:tcPr>
          <w:p w14:paraId="038D097D"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4961" w:type="dxa"/>
          </w:tcPr>
          <w:p w14:paraId="54B1A739" w14:textId="77777777" w:rsidR="00396F70" w:rsidRPr="00875A72" w:rsidRDefault="00396F70" w:rsidP="00D8628E">
            <w:pPr>
              <w:keepNext/>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r>
    </w:tbl>
    <w:p w14:paraId="76F4C9F1" w14:textId="6E717478" w:rsidR="00D8628E" w:rsidRDefault="00D8628E" w:rsidP="00D8628E">
      <w:pPr>
        <w:pStyle w:val="Caption"/>
        <w:jc w:val="center"/>
      </w:pPr>
      <w:bookmarkStart w:id="57" w:name="_Ref142557461"/>
      <w:bookmarkStart w:id="58" w:name="_Ref134651204"/>
      <w:r>
        <w:t xml:space="preserve">Table </w:t>
      </w:r>
      <w:fldSimple w:instr=" SEQ Table \* ARABIC ">
        <w:r>
          <w:rPr>
            <w:noProof/>
          </w:rPr>
          <w:t>1</w:t>
        </w:r>
      </w:fldSimple>
      <w:bookmarkEnd w:id="57"/>
      <w:r>
        <w:t xml:space="preserve">: </w:t>
      </w:r>
      <w:r w:rsidRPr="006A64EF">
        <w:t>Suitability analysis of legacy data collection frameworks for LCM functions for CSI and beam management use case.</w:t>
      </w:r>
    </w:p>
    <w:bookmarkEnd w:id="58"/>
    <w:p w14:paraId="5EA1423D" w14:textId="77777777" w:rsidR="00CD3F50" w:rsidRPr="00344552" w:rsidRDefault="00CD3F50" w:rsidP="003835E7">
      <w:pPr>
        <w:pStyle w:val="Reference"/>
        <w:numPr>
          <w:ilvl w:val="0"/>
          <w:numId w:val="0"/>
        </w:numPr>
      </w:pPr>
    </w:p>
    <w:sectPr w:rsidR="00CD3F50" w:rsidRPr="00344552" w:rsidSect="009E5A91">
      <w:footnotePr>
        <w:numRestart w:val="eachSect"/>
      </w:footnotePr>
      <w:pgSz w:w="28520" w:h="15819"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8629" w14:textId="77777777" w:rsidR="0060153D" w:rsidRDefault="0060153D">
      <w:r>
        <w:separator/>
      </w:r>
    </w:p>
  </w:endnote>
  <w:endnote w:type="continuationSeparator" w:id="0">
    <w:p w14:paraId="44F1846E" w14:textId="77777777" w:rsidR="0060153D" w:rsidRDefault="0060153D">
      <w:r>
        <w:continuationSeparator/>
      </w:r>
    </w:p>
  </w:endnote>
  <w:endnote w:type="continuationNotice" w:id="1">
    <w:p w14:paraId="38BD2F38" w14:textId="77777777" w:rsidR="0060153D" w:rsidRDefault="00601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E13F" w14:textId="77777777" w:rsidR="0060153D" w:rsidRDefault="0060153D">
      <w:r>
        <w:separator/>
      </w:r>
    </w:p>
  </w:footnote>
  <w:footnote w:type="continuationSeparator" w:id="0">
    <w:p w14:paraId="3E6D5513" w14:textId="77777777" w:rsidR="0060153D" w:rsidRDefault="0060153D">
      <w:r>
        <w:continuationSeparator/>
      </w:r>
    </w:p>
  </w:footnote>
  <w:footnote w:type="continuationNotice" w:id="1">
    <w:p w14:paraId="68A88B4D" w14:textId="77777777" w:rsidR="0060153D" w:rsidRDefault="00601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021C63"/>
    <w:multiLevelType w:val="hybridMultilevel"/>
    <w:tmpl w:val="72A4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4A47DF1"/>
    <w:multiLevelType w:val="hybridMultilevel"/>
    <w:tmpl w:val="CC348A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752075"/>
    <w:multiLevelType w:val="multilevel"/>
    <w:tmpl w:val="AAB21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9A52B786"/>
    <w:lvl w:ilvl="0" w:tplc="11682816">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588655452">
    <w:abstractNumId w:val="22"/>
  </w:num>
  <w:num w:numId="2" w16cid:durableId="1572422690">
    <w:abstractNumId w:val="19"/>
  </w:num>
  <w:num w:numId="3" w16cid:durableId="1642154989">
    <w:abstractNumId w:val="0"/>
  </w:num>
  <w:num w:numId="4" w16cid:durableId="423578544">
    <w:abstractNumId w:val="24"/>
  </w:num>
  <w:num w:numId="5" w16cid:durableId="322859524">
    <w:abstractNumId w:val="26"/>
  </w:num>
  <w:num w:numId="6" w16cid:durableId="298847170">
    <w:abstractNumId w:val="29"/>
  </w:num>
  <w:num w:numId="7" w16cid:durableId="1074741927">
    <w:abstractNumId w:val="11"/>
  </w:num>
  <w:num w:numId="8" w16cid:durableId="586306639">
    <w:abstractNumId w:val="13"/>
  </w:num>
  <w:num w:numId="9" w16cid:durableId="1776173870">
    <w:abstractNumId w:val="3"/>
  </w:num>
  <w:num w:numId="10" w16cid:durableId="417337838">
    <w:abstractNumId w:val="40"/>
  </w:num>
  <w:num w:numId="11" w16cid:durableId="2134670666">
    <w:abstractNumId w:val="16"/>
  </w:num>
  <w:num w:numId="12" w16cid:durableId="1875460000">
    <w:abstractNumId w:val="37"/>
  </w:num>
  <w:num w:numId="13" w16cid:durableId="42366671">
    <w:abstractNumId w:val="39"/>
  </w:num>
  <w:num w:numId="14" w16cid:durableId="620495469">
    <w:abstractNumId w:val="20"/>
  </w:num>
  <w:num w:numId="15" w16cid:durableId="118769700">
    <w:abstractNumId w:val="38"/>
  </w:num>
  <w:num w:numId="16" w16cid:durableId="2041856069">
    <w:abstractNumId w:val="9"/>
  </w:num>
  <w:num w:numId="17" w16cid:durableId="1686052155">
    <w:abstractNumId w:val="35"/>
  </w:num>
  <w:num w:numId="18" w16cid:durableId="2079093119">
    <w:abstractNumId w:val="2"/>
  </w:num>
  <w:num w:numId="19" w16cid:durableId="65343459">
    <w:abstractNumId w:val="34"/>
  </w:num>
  <w:num w:numId="20" w16cid:durableId="1971403381">
    <w:abstractNumId w:val="23"/>
  </w:num>
  <w:num w:numId="21" w16cid:durableId="816343118">
    <w:abstractNumId w:val="5"/>
  </w:num>
  <w:num w:numId="22" w16cid:durableId="745230330">
    <w:abstractNumId w:val="17"/>
  </w:num>
  <w:num w:numId="23" w16cid:durableId="73937765">
    <w:abstractNumId w:val="32"/>
  </w:num>
  <w:num w:numId="24" w16cid:durableId="1492090538">
    <w:abstractNumId w:val="27"/>
  </w:num>
  <w:num w:numId="25" w16cid:durableId="1009988570">
    <w:abstractNumId w:val="33"/>
  </w:num>
  <w:num w:numId="26" w16cid:durableId="1999455900">
    <w:abstractNumId w:val="4"/>
  </w:num>
  <w:num w:numId="27" w16cid:durableId="1881088966">
    <w:abstractNumId w:val="30"/>
  </w:num>
  <w:num w:numId="28" w16cid:durableId="789398871">
    <w:abstractNumId w:val="7"/>
  </w:num>
  <w:num w:numId="29" w16cid:durableId="1618218516">
    <w:abstractNumId w:val="21"/>
  </w:num>
  <w:num w:numId="30" w16cid:durableId="1923754295">
    <w:abstractNumId w:val="1"/>
  </w:num>
  <w:num w:numId="31" w16cid:durableId="1404721321">
    <w:abstractNumId w:val="10"/>
  </w:num>
  <w:num w:numId="32" w16cid:durableId="1931771882">
    <w:abstractNumId w:val="14"/>
  </w:num>
  <w:num w:numId="33" w16cid:durableId="576138923">
    <w:abstractNumId w:val="12"/>
  </w:num>
  <w:num w:numId="34" w16cid:durableId="925115308">
    <w:abstractNumId w:val="25"/>
  </w:num>
  <w:num w:numId="35" w16cid:durableId="1041318006">
    <w:abstractNumId w:val="42"/>
  </w:num>
  <w:num w:numId="36" w16cid:durableId="6414275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31"/>
  </w:num>
  <w:num w:numId="38" w16cid:durableId="335226958">
    <w:abstractNumId w:val="15"/>
  </w:num>
  <w:num w:numId="39" w16cid:durableId="1562518397">
    <w:abstractNumId w:val="41"/>
  </w:num>
  <w:num w:numId="40" w16cid:durableId="472138957">
    <w:abstractNumId w:val="28"/>
  </w:num>
  <w:num w:numId="41" w16cid:durableId="1105156278">
    <w:abstractNumId w:val="6"/>
  </w:num>
  <w:num w:numId="42" w16cid:durableId="1053230854">
    <w:abstractNumId w:val="8"/>
  </w:num>
  <w:num w:numId="43" w16cid:durableId="41231344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7AB"/>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B12"/>
    <w:rsid w:val="000140C3"/>
    <w:rsid w:val="000141D0"/>
    <w:rsid w:val="000148F3"/>
    <w:rsid w:val="00015C0A"/>
    <w:rsid w:val="00015D15"/>
    <w:rsid w:val="000160F8"/>
    <w:rsid w:val="0001695B"/>
    <w:rsid w:val="00016C5B"/>
    <w:rsid w:val="00017CA3"/>
    <w:rsid w:val="00017DBF"/>
    <w:rsid w:val="0002047E"/>
    <w:rsid w:val="00020A59"/>
    <w:rsid w:val="00020D6E"/>
    <w:rsid w:val="000211BA"/>
    <w:rsid w:val="00021429"/>
    <w:rsid w:val="000220F9"/>
    <w:rsid w:val="00022C99"/>
    <w:rsid w:val="0002340C"/>
    <w:rsid w:val="000235A1"/>
    <w:rsid w:val="00023A50"/>
    <w:rsid w:val="00023BCE"/>
    <w:rsid w:val="00023DC1"/>
    <w:rsid w:val="000248D7"/>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3D9"/>
    <w:rsid w:val="0003344B"/>
    <w:rsid w:val="00034289"/>
    <w:rsid w:val="00034908"/>
    <w:rsid w:val="00034C15"/>
    <w:rsid w:val="00034EB7"/>
    <w:rsid w:val="000354C4"/>
    <w:rsid w:val="00035810"/>
    <w:rsid w:val="00035F5B"/>
    <w:rsid w:val="00036688"/>
    <w:rsid w:val="00036AF4"/>
    <w:rsid w:val="00036BA1"/>
    <w:rsid w:val="00036D30"/>
    <w:rsid w:val="000377D6"/>
    <w:rsid w:val="00037B16"/>
    <w:rsid w:val="000400BA"/>
    <w:rsid w:val="00040269"/>
    <w:rsid w:val="0004084C"/>
    <w:rsid w:val="00040FDE"/>
    <w:rsid w:val="000411F7"/>
    <w:rsid w:val="00041277"/>
    <w:rsid w:val="00041390"/>
    <w:rsid w:val="0004165D"/>
    <w:rsid w:val="00041C33"/>
    <w:rsid w:val="000422E2"/>
    <w:rsid w:val="00042360"/>
    <w:rsid w:val="00042DC1"/>
    <w:rsid w:val="00042F22"/>
    <w:rsid w:val="000433B9"/>
    <w:rsid w:val="00043538"/>
    <w:rsid w:val="000435A9"/>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960"/>
    <w:rsid w:val="00050A45"/>
    <w:rsid w:val="00050B39"/>
    <w:rsid w:val="00050FEC"/>
    <w:rsid w:val="00051470"/>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7365"/>
    <w:rsid w:val="000675F6"/>
    <w:rsid w:val="00067B34"/>
    <w:rsid w:val="00067E61"/>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557"/>
    <w:rsid w:val="0009165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61A"/>
    <w:rsid w:val="000B1806"/>
    <w:rsid w:val="000B1C58"/>
    <w:rsid w:val="000B1E82"/>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E92"/>
    <w:rsid w:val="000E1F45"/>
    <w:rsid w:val="000E357F"/>
    <w:rsid w:val="000E3823"/>
    <w:rsid w:val="000E3C97"/>
    <w:rsid w:val="000E3D92"/>
    <w:rsid w:val="000E4077"/>
    <w:rsid w:val="000E47A6"/>
    <w:rsid w:val="000E47C5"/>
    <w:rsid w:val="000E53D6"/>
    <w:rsid w:val="000E559A"/>
    <w:rsid w:val="000E5854"/>
    <w:rsid w:val="000E5D5B"/>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909"/>
    <w:rsid w:val="00136BD5"/>
    <w:rsid w:val="00136CFC"/>
    <w:rsid w:val="00136EE4"/>
    <w:rsid w:val="0013729A"/>
    <w:rsid w:val="001372C2"/>
    <w:rsid w:val="00137587"/>
    <w:rsid w:val="00137A74"/>
    <w:rsid w:val="00137AB5"/>
    <w:rsid w:val="00137ECD"/>
    <w:rsid w:val="00137F0B"/>
    <w:rsid w:val="001401E6"/>
    <w:rsid w:val="00140695"/>
    <w:rsid w:val="00141565"/>
    <w:rsid w:val="001415E2"/>
    <w:rsid w:val="001416DE"/>
    <w:rsid w:val="0014177A"/>
    <w:rsid w:val="00141783"/>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E29"/>
    <w:rsid w:val="00146236"/>
    <w:rsid w:val="001467C4"/>
    <w:rsid w:val="0014690F"/>
    <w:rsid w:val="001469BE"/>
    <w:rsid w:val="00146AD8"/>
    <w:rsid w:val="00146BE1"/>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683"/>
    <w:rsid w:val="00182DDD"/>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C2"/>
    <w:rsid w:val="00197DF9"/>
    <w:rsid w:val="00197E65"/>
    <w:rsid w:val="00197FD4"/>
    <w:rsid w:val="00197FF1"/>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E06BF"/>
    <w:rsid w:val="001E07E9"/>
    <w:rsid w:val="001E16C8"/>
    <w:rsid w:val="001E1EAD"/>
    <w:rsid w:val="001E1F46"/>
    <w:rsid w:val="001E20A2"/>
    <w:rsid w:val="001E2550"/>
    <w:rsid w:val="001E284B"/>
    <w:rsid w:val="001E2CD6"/>
    <w:rsid w:val="001E2DA6"/>
    <w:rsid w:val="001E2FAF"/>
    <w:rsid w:val="001E384E"/>
    <w:rsid w:val="001E3AAB"/>
    <w:rsid w:val="001E4930"/>
    <w:rsid w:val="001E49F4"/>
    <w:rsid w:val="001E51FC"/>
    <w:rsid w:val="001E5875"/>
    <w:rsid w:val="001E58E2"/>
    <w:rsid w:val="001E5A88"/>
    <w:rsid w:val="001E6356"/>
    <w:rsid w:val="001E64CA"/>
    <w:rsid w:val="001E6CA6"/>
    <w:rsid w:val="001E7AED"/>
    <w:rsid w:val="001F0093"/>
    <w:rsid w:val="001F042C"/>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A0A"/>
    <w:rsid w:val="001F7EA6"/>
    <w:rsid w:val="002001B8"/>
    <w:rsid w:val="00200490"/>
    <w:rsid w:val="002004EE"/>
    <w:rsid w:val="00200540"/>
    <w:rsid w:val="002005BA"/>
    <w:rsid w:val="002008DC"/>
    <w:rsid w:val="00200D3F"/>
    <w:rsid w:val="00200EDC"/>
    <w:rsid w:val="0020160C"/>
    <w:rsid w:val="002016F1"/>
    <w:rsid w:val="00201C09"/>
    <w:rsid w:val="00201C33"/>
    <w:rsid w:val="00201F3A"/>
    <w:rsid w:val="0020221A"/>
    <w:rsid w:val="0020279B"/>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609"/>
    <w:rsid w:val="00225012"/>
    <w:rsid w:val="00225274"/>
    <w:rsid w:val="002252AA"/>
    <w:rsid w:val="002252C3"/>
    <w:rsid w:val="00225424"/>
    <w:rsid w:val="00225C54"/>
    <w:rsid w:val="00225FE1"/>
    <w:rsid w:val="0022670A"/>
    <w:rsid w:val="00226F57"/>
    <w:rsid w:val="00227085"/>
    <w:rsid w:val="0022776F"/>
    <w:rsid w:val="00227BFA"/>
    <w:rsid w:val="00227CD2"/>
    <w:rsid w:val="002301DA"/>
    <w:rsid w:val="00230765"/>
    <w:rsid w:val="00230799"/>
    <w:rsid w:val="00230D18"/>
    <w:rsid w:val="00230EF8"/>
    <w:rsid w:val="002310AE"/>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426C"/>
    <w:rsid w:val="00234332"/>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AA3"/>
    <w:rsid w:val="00245CA3"/>
    <w:rsid w:val="002460FC"/>
    <w:rsid w:val="002462F2"/>
    <w:rsid w:val="0024633D"/>
    <w:rsid w:val="002467EF"/>
    <w:rsid w:val="002470E4"/>
    <w:rsid w:val="00247196"/>
    <w:rsid w:val="00247283"/>
    <w:rsid w:val="002474C2"/>
    <w:rsid w:val="0024780B"/>
    <w:rsid w:val="00247B56"/>
    <w:rsid w:val="0025002F"/>
    <w:rsid w:val="002500C8"/>
    <w:rsid w:val="002501A0"/>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44F"/>
    <w:rsid w:val="002717E4"/>
    <w:rsid w:val="00271813"/>
    <w:rsid w:val="00271B68"/>
    <w:rsid w:val="00271F3A"/>
    <w:rsid w:val="00271FD1"/>
    <w:rsid w:val="0027243E"/>
    <w:rsid w:val="00272B04"/>
    <w:rsid w:val="00272CFA"/>
    <w:rsid w:val="00273278"/>
    <w:rsid w:val="002735D6"/>
    <w:rsid w:val="002737F4"/>
    <w:rsid w:val="00273994"/>
    <w:rsid w:val="002744D8"/>
    <w:rsid w:val="00274B73"/>
    <w:rsid w:val="00274E8A"/>
    <w:rsid w:val="00275352"/>
    <w:rsid w:val="00275D13"/>
    <w:rsid w:val="002765FE"/>
    <w:rsid w:val="002766CF"/>
    <w:rsid w:val="002767A4"/>
    <w:rsid w:val="00276C68"/>
    <w:rsid w:val="00276CCD"/>
    <w:rsid w:val="00277453"/>
    <w:rsid w:val="002776F2"/>
    <w:rsid w:val="0028015D"/>
    <w:rsid w:val="00280248"/>
    <w:rsid w:val="002805F5"/>
    <w:rsid w:val="00280751"/>
    <w:rsid w:val="00280D40"/>
    <w:rsid w:val="00280DFD"/>
    <w:rsid w:val="002810E8"/>
    <w:rsid w:val="002811C4"/>
    <w:rsid w:val="00281C13"/>
    <w:rsid w:val="00281FAD"/>
    <w:rsid w:val="00282407"/>
    <w:rsid w:val="0028241D"/>
    <w:rsid w:val="0028273A"/>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F44"/>
    <w:rsid w:val="0029777D"/>
    <w:rsid w:val="002977A0"/>
    <w:rsid w:val="00297892"/>
    <w:rsid w:val="00297BF0"/>
    <w:rsid w:val="002A04F2"/>
    <w:rsid w:val="002A055E"/>
    <w:rsid w:val="002A097F"/>
    <w:rsid w:val="002A0E13"/>
    <w:rsid w:val="002A13F3"/>
    <w:rsid w:val="002A15B0"/>
    <w:rsid w:val="002A167C"/>
    <w:rsid w:val="002A1D4E"/>
    <w:rsid w:val="002A1E84"/>
    <w:rsid w:val="002A228A"/>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7CD"/>
    <w:rsid w:val="002B4FA7"/>
    <w:rsid w:val="002B51E8"/>
    <w:rsid w:val="002B51FF"/>
    <w:rsid w:val="002B529D"/>
    <w:rsid w:val="002B571C"/>
    <w:rsid w:val="002B5C4A"/>
    <w:rsid w:val="002B5D0D"/>
    <w:rsid w:val="002B6260"/>
    <w:rsid w:val="002B6588"/>
    <w:rsid w:val="002B65F9"/>
    <w:rsid w:val="002B6676"/>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AB4"/>
    <w:rsid w:val="002C3F1A"/>
    <w:rsid w:val="002C41E6"/>
    <w:rsid w:val="002C4B85"/>
    <w:rsid w:val="002C4D03"/>
    <w:rsid w:val="002C5097"/>
    <w:rsid w:val="002C5B28"/>
    <w:rsid w:val="002C5B64"/>
    <w:rsid w:val="002C5BA3"/>
    <w:rsid w:val="002C5C1A"/>
    <w:rsid w:val="002C5EA6"/>
    <w:rsid w:val="002C5EF9"/>
    <w:rsid w:val="002C6091"/>
    <w:rsid w:val="002C63B3"/>
    <w:rsid w:val="002C6451"/>
    <w:rsid w:val="002C6664"/>
    <w:rsid w:val="002C6A78"/>
    <w:rsid w:val="002C6BC4"/>
    <w:rsid w:val="002C6E36"/>
    <w:rsid w:val="002C6E40"/>
    <w:rsid w:val="002C7757"/>
    <w:rsid w:val="002D071A"/>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3818"/>
    <w:rsid w:val="002E3C4C"/>
    <w:rsid w:val="002E40BC"/>
    <w:rsid w:val="002E41D9"/>
    <w:rsid w:val="002E4DB7"/>
    <w:rsid w:val="002E5209"/>
    <w:rsid w:val="002E5907"/>
    <w:rsid w:val="002E5B57"/>
    <w:rsid w:val="002E5BFE"/>
    <w:rsid w:val="002E5D11"/>
    <w:rsid w:val="002E5D5B"/>
    <w:rsid w:val="002E5E06"/>
    <w:rsid w:val="002E5EF4"/>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B6D"/>
    <w:rsid w:val="0031520F"/>
    <w:rsid w:val="00315363"/>
    <w:rsid w:val="003155D2"/>
    <w:rsid w:val="003156E5"/>
    <w:rsid w:val="003162FB"/>
    <w:rsid w:val="00316C55"/>
    <w:rsid w:val="00316D9B"/>
    <w:rsid w:val="003171CD"/>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703D"/>
    <w:rsid w:val="00327BD3"/>
    <w:rsid w:val="003303DF"/>
    <w:rsid w:val="003306FB"/>
    <w:rsid w:val="00330829"/>
    <w:rsid w:val="00330C31"/>
    <w:rsid w:val="00330F11"/>
    <w:rsid w:val="003312E5"/>
    <w:rsid w:val="003315EF"/>
    <w:rsid w:val="00331751"/>
    <w:rsid w:val="0033176B"/>
    <w:rsid w:val="003318AD"/>
    <w:rsid w:val="00331B31"/>
    <w:rsid w:val="00331FF7"/>
    <w:rsid w:val="00332367"/>
    <w:rsid w:val="00332505"/>
    <w:rsid w:val="00332D6C"/>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80E"/>
    <w:rsid w:val="003368A7"/>
    <w:rsid w:val="00336B35"/>
    <w:rsid w:val="00336BDA"/>
    <w:rsid w:val="00336C19"/>
    <w:rsid w:val="00336E5C"/>
    <w:rsid w:val="00340103"/>
    <w:rsid w:val="00340280"/>
    <w:rsid w:val="00340ACD"/>
    <w:rsid w:val="0034104A"/>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B62"/>
    <w:rsid w:val="00363C09"/>
    <w:rsid w:val="00363E9E"/>
    <w:rsid w:val="00364127"/>
    <w:rsid w:val="0036420F"/>
    <w:rsid w:val="00364B54"/>
    <w:rsid w:val="00364F37"/>
    <w:rsid w:val="003654FE"/>
    <w:rsid w:val="00365C48"/>
    <w:rsid w:val="00365FE7"/>
    <w:rsid w:val="003663F5"/>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685"/>
    <w:rsid w:val="003746C0"/>
    <w:rsid w:val="00374884"/>
    <w:rsid w:val="00374E65"/>
    <w:rsid w:val="00375700"/>
    <w:rsid w:val="00375952"/>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2381"/>
    <w:rsid w:val="003923AF"/>
    <w:rsid w:val="0039275C"/>
    <w:rsid w:val="00392C0D"/>
    <w:rsid w:val="00392EA7"/>
    <w:rsid w:val="0039382C"/>
    <w:rsid w:val="003939FF"/>
    <w:rsid w:val="00393C88"/>
    <w:rsid w:val="00393F9E"/>
    <w:rsid w:val="0039458D"/>
    <w:rsid w:val="00394BA7"/>
    <w:rsid w:val="00394DA4"/>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57A"/>
    <w:rsid w:val="003B369F"/>
    <w:rsid w:val="003B36A3"/>
    <w:rsid w:val="003B3904"/>
    <w:rsid w:val="003B4473"/>
    <w:rsid w:val="003B486E"/>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BDF"/>
    <w:rsid w:val="003E5238"/>
    <w:rsid w:val="003E5413"/>
    <w:rsid w:val="003E55E4"/>
    <w:rsid w:val="003E57A7"/>
    <w:rsid w:val="003E5A1A"/>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B06"/>
    <w:rsid w:val="00403B07"/>
    <w:rsid w:val="00403D17"/>
    <w:rsid w:val="004043DB"/>
    <w:rsid w:val="00404410"/>
    <w:rsid w:val="0040512B"/>
    <w:rsid w:val="00405388"/>
    <w:rsid w:val="00405CA5"/>
    <w:rsid w:val="004061B3"/>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352"/>
    <w:rsid w:val="00415CA7"/>
    <w:rsid w:val="00415F27"/>
    <w:rsid w:val="004161C3"/>
    <w:rsid w:val="004164ED"/>
    <w:rsid w:val="00416B50"/>
    <w:rsid w:val="00416CD0"/>
    <w:rsid w:val="00416D18"/>
    <w:rsid w:val="004208AE"/>
    <w:rsid w:val="00420BE6"/>
    <w:rsid w:val="00420EB4"/>
    <w:rsid w:val="00420FA1"/>
    <w:rsid w:val="00420FB0"/>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355"/>
    <w:rsid w:val="00454EF4"/>
    <w:rsid w:val="0045518C"/>
    <w:rsid w:val="00455BE7"/>
    <w:rsid w:val="00455FF6"/>
    <w:rsid w:val="004560BE"/>
    <w:rsid w:val="00456606"/>
    <w:rsid w:val="00456A20"/>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31A"/>
    <w:rsid w:val="004648E5"/>
    <w:rsid w:val="00464983"/>
    <w:rsid w:val="00464F68"/>
    <w:rsid w:val="0046526F"/>
    <w:rsid w:val="00465441"/>
    <w:rsid w:val="00465B26"/>
    <w:rsid w:val="0046613C"/>
    <w:rsid w:val="00466209"/>
    <w:rsid w:val="004669E2"/>
    <w:rsid w:val="004670CF"/>
    <w:rsid w:val="00467241"/>
    <w:rsid w:val="0046761B"/>
    <w:rsid w:val="0046781C"/>
    <w:rsid w:val="0046783D"/>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F3B"/>
    <w:rsid w:val="00490083"/>
    <w:rsid w:val="00490EE9"/>
    <w:rsid w:val="004915FD"/>
    <w:rsid w:val="00492022"/>
    <w:rsid w:val="004922B0"/>
    <w:rsid w:val="00492335"/>
    <w:rsid w:val="00492624"/>
    <w:rsid w:val="00492790"/>
    <w:rsid w:val="004927B8"/>
    <w:rsid w:val="00492BC5"/>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C2D"/>
    <w:rsid w:val="0049709D"/>
    <w:rsid w:val="004973DE"/>
    <w:rsid w:val="00497682"/>
    <w:rsid w:val="00497825"/>
    <w:rsid w:val="00497E3E"/>
    <w:rsid w:val="004A030E"/>
    <w:rsid w:val="004A036F"/>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53"/>
    <w:rsid w:val="004B6CA9"/>
    <w:rsid w:val="004B6D62"/>
    <w:rsid w:val="004B6DE0"/>
    <w:rsid w:val="004B6F6A"/>
    <w:rsid w:val="004B6FA3"/>
    <w:rsid w:val="004B7085"/>
    <w:rsid w:val="004B7501"/>
    <w:rsid w:val="004B7B87"/>
    <w:rsid w:val="004B7C0C"/>
    <w:rsid w:val="004C0057"/>
    <w:rsid w:val="004C0C5E"/>
    <w:rsid w:val="004C0FC9"/>
    <w:rsid w:val="004C12E9"/>
    <w:rsid w:val="004C1561"/>
    <w:rsid w:val="004C169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5B"/>
    <w:rsid w:val="004C53FD"/>
    <w:rsid w:val="004C5E5B"/>
    <w:rsid w:val="004C5FC4"/>
    <w:rsid w:val="004C6092"/>
    <w:rsid w:val="004C626B"/>
    <w:rsid w:val="004C7103"/>
    <w:rsid w:val="004C72B7"/>
    <w:rsid w:val="004C7EEA"/>
    <w:rsid w:val="004D01B8"/>
    <w:rsid w:val="004D021F"/>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823"/>
    <w:rsid w:val="004E0E5C"/>
    <w:rsid w:val="004E1019"/>
    <w:rsid w:val="004E1294"/>
    <w:rsid w:val="004E136F"/>
    <w:rsid w:val="004E23D1"/>
    <w:rsid w:val="004E24F8"/>
    <w:rsid w:val="004E2658"/>
    <w:rsid w:val="004E2680"/>
    <w:rsid w:val="004E28F9"/>
    <w:rsid w:val="004E2980"/>
    <w:rsid w:val="004E3666"/>
    <w:rsid w:val="004E3732"/>
    <w:rsid w:val="004E3A55"/>
    <w:rsid w:val="004E3B4E"/>
    <w:rsid w:val="004E3C8E"/>
    <w:rsid w:val="004E4319"/>
    <w:rsid w:val="004E462E"/>
    <w:rsid w:val="004E48D1"/>
    <w:rsid w:val="004E4993"/>
    <w:rsid w:val="004E4B44"/>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533C"/>
    <w:rsid w:val="005153A7"/>
    <w:rsid w:val="00515829"/>
    <w:rsid w:val="005159D0"/>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C24"/>
    <w:rsid w:val="00523D2D"/>
    <w:rsid w:val="00524077"/>
    <w:rsid w:val="00524136"/>
    <w:rsid w:val="005243D6"/>
    <w:rsid w:val="00524B66"/>
    <w:rsid w:val="00525E5C"/>
    <w:rsid w:val="00525ED3"/>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D0F"/>
    <w:rsid w:val="00545ED7"/>
    <w:rsid w:val="005462EB"/>
    <w:rsid w:val="00546390"/>
    <w:rsid w:val="005467CD"/>
    <w:rsid w:val="00546970"/>
    <w:rsid w:val="00546CEE"/>
    <w:rsid w:val="005471F3"/>
    <w:rsid w:val="0054778F"/>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B62"/>
    <w:rsid w:val="00556C16"/>
    <w:rsid w:val="00556C5F"/>
    <w:rsid w:val="00556C79"/>
    <w:rsid w:val="0055704D"/>
    <w:rsid w:val="005579F9"/>
    <w:rsid w:val="00557C5D"/>
    <w:rsid w:val="00560101"/>
    <w:rsid w:val="005603C1"/>
    <w:rsid w:val="00561095"/>
    <w:rsid w:val="005610BF"/>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505"/>
    <w:rsid w:val="00572E07"/>
    <w:rsid w:val="005732CB"/>
    <w:rsid w:val="00573A38"/>
    <w:rsid w:val="00573D9C"/>
    <w:rsid w:val="00574018"/>
    <w:rsid w:val="0057453C"/>
    <w:rsid w:val="005746F8"/>
    <w:rsid w:val="00574843"/>
    <w:rsid w:val="00574855"/>
    <w:rsid w:val="005748D3"/>
    <w:rsid w:val="00575BAA"/>
    <w:rsid w:val="00575ED8"/>
    <w:rsid w:val="005764B8"/>
    <w:rsid w:val="005764FA"/>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F0"/>
    <w:rsid w:val="005B58F1"/>
    <w:rsid w:val="005B5FC3"/>
    <w:rsid w:val="005B6F83"/>
    <w:rsid w:val="005B70A5"/>
    <w:rsid w:val="005C06A8"/>
    <w:rsid w:val="005C0B25"/>
    <w:rsid w:val="005C0EB6"/>
    <w:rsid w:val="005C0EC8"/>
    <w:rsid w:val="005C0F66"/>
    <w:rsid w:val="005C11E3"/>
    <w:rsid w:val="005C1A93"/>
    <w:rsid w:val="005C1EE8"/>
    <w:rsid w:val="005C291C"/>
    <w:rsid w:val="005C2972"/>
    <w:rsid w:val="005C2B33"/>
    <w:rsid w:val="005C2BE3"/>
    <w:rsid w:val="005C34AE"/>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3105"/>
    <w:rsid w:val="005D3144"/>
    <w:rsid w:val="005D38F5"/>
    <w:rsid w:val="005D44A5"/>
    <w:rsid w:val="005D4762"/>
    <w:rsid w:val="005D4957"/>
    <w:rsid w:val="005D540A"/>
    <w:rsid w:val="005D59D2"/>
    <w:rsid w:val="005D6164"/>
    <w:rsid w:val="005D630E"/>
    <w:rsid w:val="005D676A"/>
    <w:rsid w:val="005D685F"/>
    <w:rsid w:val="005D6DBF"/>
    <w:rsid w:val="005D7B89"/>
    <w:rsid w:val="005D7C7F"/>
    <w:rsid w:val="005D7FBB"/>
    <w:rsid w:val="005E0873"/>
    <w:rsid w:val="005E1111"/>
    <w:rsid w:val="005E1190"/>
    <w:rsid w:val="005E1261"/>
    <w:rsid w:val="005E15BB"/>
    <w:rsid w:val="005E161B"/>
    <w:rsid w:val="005E1ADB"/>
    <w:rsid w:val="005E1CCE"/>
    <w:rsid w:val="005E1D68"/>
    <w:rsid w:val="005E1FE2"/>
    <w:rsid w:val="005E203D"/>
    <w:rsid w:val="005E2519"/>
    <w:rsid w:val="005E264F"/>
    <w:rsid w:val="005E291A"/>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41C"/>
    <w:rsid w:val="005F618C"/>
    <w:rsid w:val="005F6F63"/>
    <w:rsid w:val="005F70BD"/>
    <w:rsid w:val="005F72A8"/>
    <w:rsid w:val="005F743D"/>
    <w:rsid w:val="005F7678"/>
    <w:rsid w:val="005F79BE"/>
    <w:rsid w:val="005F7A66"/>
    <w:rsid w:val="005F7AF4"/>
    <w:rsid w:val="00600395"/>
    <w:rsid w:val="006005B7"/>
    <w:rsid w:val="006006C5"/>
    <w:rsid w:val="00600A78"/>
    <w:rsid w:val="0060153D"/>
    <w:rsid w:val="00601E42"/>
    <w:rsid w:val="006020AD"/>
    <w:rsid w:val="0060283C"/>
    <w:rsid w:val="00602CA3"/>
    <w:rsid w:val="00603327"/>
    <w:rsid w:val="006033E2"/>
    <w:rsid w:val="00603AFA"/>
    <w:rsid w:val="006041AD"/>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709"/>
    <w:rsid w:val="00625992"/>
    <w:rsid w:val="00625C52"/>
    <w:rsid w:val="00625CFE"/>
    <w:rsid w:val="0062621A"/>
    <w:rsid w:val="00626656"/>
    <w:rsid w:val="00626CF6"/>
    <w:rsid w:val="00627570"/>
    <w:rsid w:val="00627763"/>
    <w:rsid w:val="00627D32"/>
    <w:rsid w:val="00630001"/>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E0E"/>
    <w:rsid w:val="00634ED5"/>
    <w:rsid w:val="006353BD"/>
    <w:rsid w:val="00635565"/>
    <w:rsid w:val="006356E9"/>
    <w:rsid w:val="00635B96"/>
    <w:rsid w:val="00635CB9"/>
    <w:rsid w:val="00635F26"/>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51EE"/>
    <w:rsid w:val="006655EE"/>
    <w:rsid w:val="00666904"/>
    <w:rsid w:val="00666981"/>
    <w:rsid w:val="00666BF0"/>
    <w:rsid w:val="00666F32"/>
    <w:rsid w:val="00667608"/>
    <w:rsid w:val="00667905"/>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559"/>
    <w:rsid w:val="006C46E7"/>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9D6"/>
    <w:rsid w:val="006D0AC7"/>
    <w:rsid w:val="006D0AF9"/>
    <w:rsid w:val="006D0BB9"/>
    <w:rsid w:val="006D17A6"/>
    <w:rsid w:val="006D2101"/>
    <w:rsid w:val="006D2143"/>
    <w:rsid w:val="006D24F1"/>
    <w:rsid w:val="006D2D20"/>
    <w:rsid w:val="006D2F59"/>
    <w:rsid w:val="006D3150"/>
    <w:rsid w:val="006D337C"/>
    <w:rsid w:val="006D3F59"/>
    <w:rsid w:val="006D4368"/>
    <w:rsid w:val="006D46B5"/>
    <w:rsid w:val="006D4AC1"/>
    <w:rsid w:val="006D4D73"/>
    <w:rsid w:val="006D4E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C82"/>
    <w:rsid w:val="006E2051"/>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700878"/>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4471"/>
    <w:rsid w:val="007148D3"/>
    <w:rsid w:val="00714C00"/>
    <w:rsid w:val="0071550A"/>
    <w:rsid w:val="00715790"/>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B5E"/>
    <w:rsid w:val="0072301E"/>
    <w:rsid w:val="007231C4"/>
    <w:rsid w:val="007233BA"/>
    <w:rsid w:val="00723918"/>
    <w:rsid w:val="007242C2"/>
    <w:rsid w:val="00724E57"/>
    <w:rsid w:val="007257D0"/>
    <w:rsid w:val="00725D80"/>
    <w:rsid w:val="00725F18"/>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937"/>
    <w:rsid w:val="00733C97"/>
    <w:rsid w:val="00733EE9"/>
    <w:rsid w:val="00733FF9"/>
    <w:rsid w:val="007340C3"/>
    <w:rsid w:val="007343C3"/>
    <w:rsid w:val="007346DD"/>
    <w:rsid w:val="007348B1"/>
    <w:rsid w:val="00734D6C"/>
    <w:rsid w:val="00734E50"/>
    <w:rsid w:val="00735DC7"/>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A16"/>
    <w:rsid w:val="007601CA"/>
    <w:rsid w:val="007604B2"/>
    <w:rsid w:val="0076050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673"/>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C73"/>
    <w:rsid w:val="00785EBC"/>
    <w:rsid w:val="0078657B"/>
    <w:rsid w:val="007868B3"/>
    <w:rsid w:val="0078693F"/>
    <w:rsid w:val="00787074"/>
    <w:rsid w:val="007870B8"/>
    <w:rsid w:val="00787233"/>
    <w:rsid w:val="007873BD"/>
    <w:rsid w:val="007900C0"/>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1289"/>
    <w:rsid w:val="007A13AB"/>
    <w:rsid w:val="007A15E7"/>
    <w:rsid w:val="007A16CC"/>
    <w:rsid w:val="007A17FB"/>
    <w:rsid w:val="007A1861"/>
    <w:rsid w:val="007A1CB3"/>
    <w:rsid w:val="007A1D05"/>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219F"/>
    <w:rsid w:val="007C2268"/>
    <w:rsid w:val="007C25E0"/>
    <w:rsid w:val="007C3428"/>
    <w:rsid w:val="007C3574"/>
    <w:rsid w:val="007C37CC"/>
    <w:rsid w:val="007C3AD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E13"/>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B13"/>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7175"/>
    <w:rsid w:val="00807786"/>
    <w:rsid w:val="00807832"/>
    <w:rsid w:val="00807AB7"/>
    <w:rsid w:val="00807C18"/>
    <w:rsid w:val="00807F99"/>
    <w:rsid w:val="0081000A"/>
    <w:rsid w:val="00810080"/>
    <w:rsid w:val="008105E2"/>
    <w:rsid w:val="00810911"/>
    <w:rsid w:val="00810C76"/>
    <w:rsid w:val="00810C86"/>
    <w:rsid w:val="00810DD5"/>
    <w:rsid w:val="008111B2"/>
    <w:rsid w:val="00811E8C"/>
    <w:rsid w:val="00811FCB"/>
    <w:rsid w:val="00812375"/>
    <w:rsid w:val="00812B53"/>
    <w:rsid w:val="00812F36"/>
    <w:rsid w:val="00812F91"/>
    <w:rsid w:val="00813A68"/>
    <w:rsid w:val="00813BE7"/>
    <w:rsid w:val="00813CC1"/>
    <w:rsid w:val="00813D2E"/>
    <w:rsid w:val="00813EEE"/>
    <w:rsid w:val="00813F3F"/>
    <w:rsid w:val="00814078"/>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2E"/>
    <w:rsid w:val="008278F4"/>
    <w:rsid w:val="00827A3A"/>
    <w:rsid w:val="00827CEC"/>
    <w:rsid w:val="00827D6F"/>
    <w:rsid w:val="0083060D"/>
    <w:rsid w:val="00830A19"/>
    <w:rsid w:val="00830B9F"/>
    <w:rsid w:val="0083107F"/>
    <w:rsid w:val="0083118A"/>
    <w:rsid w:val="00831F5F"/>
    <w:rsid w:val="00832D25"/>
    <w:rsid w:val="00832EE2"/>
    <w:rsid w:val="00832FA2"/>
    <w:rsid w:val="00833260"/>
    <w:rsid w:val="00833706"/>
    <w:rsid w:val="00833C88"/>
    <w:rsid w:val="0083417C"/>
    <w:rsid w:val="00834403"/>
    <w:rsid w:val="00835105"/>
    <w:rsid w:val="00835713"/>
    <w:rsid w:val="00835785"/>
    <w:rsid w:val="00835867"/>
    <w:rsid w:val="00835A4A"/>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517"/>
    <w:rsid w:val="0085773A"/>
    <w:rsid w:val="008577B0"/>
    <w:rsid w:val="00857B8A"/>
    <w:rsid w:val="00857C6F"/>
    <w:rsid w:val="008603E0"/>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43E6"/>
    <w:rsid w:val="00884AA9"/>
    <w:rsid w:val="00884B84"/>
    <w:rsid w:val="00884E3A"/>
    <w:rsid w:val="008859DA"/>
    <w:rsid w:val="00885A18"/>
    <w:rsid w:val="00885A62"/>
    <w:rsid w:val="00885A93"/>
    <w:rsid w:val="00885F05"/>
    <w:rsid w:val="00886990"/>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E02"/>
    <w:rsid w:val="008A1047"/>
    <w:rsid w:val="008A1241"/>
    <w:rsid w:val="008A137C"/>
    <w:rsid w:val="008A1A07"/>
    <w:rsid w:val="008A20CA"/>
    <w:rsid w:val="008A21FF"/>
    <w:rsid w:val="008A259D"/>
    <w:rsid w:val="008A2861"/>
    <w:rsid w:val="008A28CB"/>
    <w:rsid w:val="008A2AD6"/>
    <w:rsid w:val="008A2CE2"/>
    <w:rsid w:val="008A30AC"/>
    <w:rsid w:val="008A316E"/>
    <w:rsid w:val="008A3CC3"/>
    <w:rsid w:val="008A4096"/>
    <w:rsid w:val="008A44B8"/>
    <w:rsid w:val="008A44E3"/>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26D"/>
    <w:rsid w:val="008C0385"/>
    <w:rsid w:val="008C0426"/>
    <w:rsid w:val="008C0C99"/>
    <w:rsid w:val="008C1B18"/>
    <w:rsid w:val="008C1B8A"/>
    <w:rsid w:val="008C1F50"/>
    <w:rsid w:val="008C2017"/>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B9"/>
    <w:rsid w:val="00936194"/>
    <w:rsid w:val="00936363"/>
    <w:rsid w:val="00936643"/>
    <w:rsid w:val="009368F3"/>
    <w:rsid w:val="00936A9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DD"/>
    <w:rsid w:val="009440F3"/>
    <w:rsid w:val="00944A88"/>
    <w:rsid w:val="00944BFC"/>
    <w:rsid w:val="00945338"/>
    <w:rsid w:val="00945535"/>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61AC"/>
    <w:rsid w:val="009E62D5"/>
    <w:rsid w:val="009E687D"/>
    <w:rsid w:val="009E6F87"/>
    <w:rsid w:val="009E7053"/>
    <w:rsid w:val="009E7063"/>
    <w:rsid w:val="009F009C"/>
    <w:rsid w:val="009F08F3"/>
    <w:rsid w:val="009F12E5"/>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A008EF"/>
    <w:rsid w:val="00A00F00"/>
    <w:rsid w:val="00A013F4"/>
    <w:rsid w:val="00A01E77"/>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DCF"/>
    <w:rsid w:val="00A2754D"/>
    <w:rsid w:val="00A275D4"/>
    <w:rsid w:val="00A27785"/>
    <w:rsid w:val="00A27940"/>
    <w:rsid w:val="00A279DF"/>
    <w:rsid w:val="00A27D3E"/>
    <w:rsid w:val="00A27D54"/>
    <w:rsid w:val="00A30187"/>
    <w:rsid w:val="00A30641"/>
    <w:rsid w:val="00A3070B"/>
    <w:rsid w:val="00A3095A"/>
    <w:rsid w:val="00A310DC"/>
    <w:rsid w:val="00A31EF1"/>
    <w:rsid w:val="00A32300"/>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AD3"/>
    <w:rsid w:val="00A45B74"/>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4C"/>
    <w:rsid w:val="00A657D7"/>
    <w:rsid w:val="00A660AC"/>
    <w:rsid w:val="00A662C9"/>
    <w:rsid w:val="00A6630D"/>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D58"/>
    <w:rsid w:val="00A74025"/>
    <w:rsid w:val="00A740A8"/>
    <w:rsid w:val="00A741A7"/>
    <w:rsid w:val="00A74502"/>
    <w:rsid w:val="00A746AA"/>
    <w:rsid w:val="00A75332"/>
    <w:rsid w:val="00A753AB"/>
    <w:rsid w:val="00A75A4E"/>
    <w:rsid w:val="00A75A70"/>
    <w:rsid w:val="00A75ADF"/>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C43"/>
    <w:rsid w:val="00A86CA1"/>
    <w:rsid w:val="00A874B2"/>
    <w:rsid w:val="00A87AB8"/>
    <w:rsid w:val="00A87D59"/>
    <w:rsid w:val="00A87EF5"/>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8A1"/>
    <w:rsid w:val="00A97C67"/>
    <w:rsid w:val="00A97C76"/>
    <w:rsid w:val="00A97C8B"/>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FBE"/>
    <w:rsid w:val="00AB61F6"/>
    <w:rsid w:val="00AB655E"/>
    <w:rsid w:val="00AB6A91"/>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D8F"/>
    <w:rsid w:val="00AF5F9C"/>
    <w:rsid w:val="00AF5FF8"/>
    <w:rsid w:val="00AF697A"/>
    <w:rsid w:val="00AF7935"/>
    <w:rsid w:val="00B006A6"/>
    <w:rsid w:val="00B006FE"/>
    <w:rsid w:val="00B007CB"/>
    <w:rsid w:val="00B00A4F"/>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48B"/>
    <w:rsid w:val="00B22737"/>
    <w:rsid w:val="00B22D56"/>
    <w:rsid w:val="00B22F3C"/>
    <w:rsid w:val="00B231C2"/>
    <w:rsid w:val="00B2323F"/>
    <w:rsid w:val="00B23740"/>
    <w:rsid w:val="00B237DC"/>
    <w:rsid w:val="00B23854"/>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846"/>
    <w:rsid w:val="00B4294D"/>
    <w:rsid w:val="00B42A94"/>
    <w:rsid w:val="00B42C65"/>
    <w:rsid w:val="00B437D2"/>
    <w:rsid w:val="00B437FA"/>
    <w:rsid w:val="00B43DFA"/>
    <w:rsid w:val="00B44D43"/>
    <w:rsid w:val="00B4561F"/>
    <w:rsid w:val="00B45882"/>
    <w:rsid w:val="00B45A4C"/>
    <w:rsid w:val="00B45A52"/>
    <w:rsid w:val="00B46175"/>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25C1"/>
    <w:rsid w:val="00B527DF"/>
    <w:rsid w:val="00B52AF0"/>
    <w:rsid w:val="00B53023"/>
    <w:rsid w:val="00B53227"/>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760"/>
    <w:rsid w:val="00B56925"/>
    <w:rsid w:val="00B5728D"/>
    <w:rsid w:val="00B57AD2"/>
    <w:rsid w:val="00B57B17"/>
    <w:rsid w:val="00B57DB0"/>
    <w:rsid w:val="00B6059D"/>
    <w:rsid w:val="00B60785"/>
    <w:rsid w:val="00B60787"/>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42E"/>
    <w:rsid w:val="00B664C7"/>
    <w:rsid w:val="00B66D7F"/>
    <w:rsid w:val="00B6717D"/>
    <w:rsid w:val="00B67355"/>
    <w:rsid w:val="00B676A1"/>
    <w:rsid w:val="00B676E5"/>
    <w:rsid w:val="00B70B86"/>
    <w:rsid w:val="00B70C3D"/>
    <w:rsid w:val="00B70C7A"/>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E7"/>
    <w:rsid w:val="00B81A6C"/>
    <w:rsid w:val="00B81D25"/>
    <w:rsid w:val="00B822DF"/>
    <w:rsid w:val="00B8295A"/>
    <w:rsid w:val="00B82B50"/>
    <w:rsid w:val="00B83809"/>
    <w:rsid w:val="00B83846"/>
    <w:rsid w:val="00B83C82"/>
    <w:rsid w:val="00B8462A"/>
    <w:rsid w:val="00B8471A"/>
    <w:rsid w:val="00B84A52"/>
    <w:rsid w:val="00B84D8A"/>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B13"/>
    <w:rsid w:val="00BA7BDB"/>
    <w:rsid w:val="00BA7EF9"/>
    <w:rsid w:val="00BB010B"/>
    <w:rsid w:val="00BB053D"/>
    <w:rsid w:val="00BB055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D2E"/>
    <w:rsid w:val="00BC52D0"/>
    <w:rsid w:val="00BC52D2"/>
    <w:rsid w:val="00BC52E0"/>
    <w:rsid w:val="00BC58AC"/>
    <w:rsid w:val="00BC5A83"/>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A7C"/>
    <w:rsid w:val="00BE1C3D"/>
    <w:rsid w:val="00BE1EA0"/>
    <w:rsid w:val="00BE1F03"/>
    <w:rsid w:val="00BE23D7"/>
    <w:rsid w:val="00BE2563"/>
    <w:rsid w:val="00BE25BE"/>
    <w:rsid w:val="00BE25D0"/>
    <w:rsid w:val="00BE2722"/>
    <w:rsid w:val="00BE2C94"/>
    <w:rsid w:val="00BE2FA6"/>
    <w:rsid w:val="00BE333F"/>
    <w:rsid w:val="00BE36FF"/>
    <w:rsid w:val="00BE3BB8"/>
    <w:rsid w:val="00BE4A36"/>
    <w:rsid w:val="00BE4A6D"/>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325"/>
    <w:rsid w:val="00BF04A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3D6"/>
    <w:rsid w:val="00C13869"/>
    <w:rsid w:val="00C1395D"/>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1C1"/>
    <w:rsid w:val="00C34202"/>
    <w:rsid w:val="00C34658"/>
    <w:rsid w:val="00C34B62"/>
    <w:rsid w:val="00C35279"/>
    <w:rsid w:val="00C35538"/>
    <w:rsid w:val="00C35BF5"/>
    <w:rsid w:val="00C35F4C"/>
    <w:rsid w:val="00C35F80"/>
    <w:rsid w:val="00C36466"/>
    <w:rsid w:val="00C3659B"/>
    <w:rsid w:val="00C36633"/>
    <w:rsid w:val="00C36A12"/>
    <w:rsid w:val="00C36F60"/>
    <w:rsid w:val="00C36FFD"/>
    <w:rsid w:val="00C3719D"/>
    <w:rsid w:val="00C373FA"/>
    <w:rsid w:val="00C375F3"/>
    <w:rsid w:val="00C37789"/>
    <w:rsid w:val="00C378D5"/>
    <w:rsid w:val="00C37BFD"/>
    <w:rsid w:val="00C37CB2"/>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C32"/>
    <w:rsid w:val="00C46F9F"/>
    <w:rsid w:val="00C472D4"/>
    <w:rsid w:val="00C473A5"/>
    <w:rsid w:val="00C475FF"/>
    <w:rsid w:val="00C478A8"/>
    <w:rsid w:val="00C47A02"/>
    <w:rsid w:val="00C47B81"/>
    <w:rsid w:val="00C47CB7"/>
    <w:rsid w:val="00C5066A"/>
    <w:rsid w:val="00C507C3"/>
    <w:rsid w:val="00C513C6"/>
    <w:rsid w:val="00C51467"/>
    <w:rsid w:val="00C5159A"/>
    <w:rsid w:val="00C51CDA"/>
    <w:rsid w:val="00C5200D"/>
    <w:rsid w:val="00C522D0"/>
    <w:rsid w:val="00C529A5"/>
    <w:rsid w:val="00C52CF3"/>
    <w:rsid w:val="00C54301"/>
    <w:rsid w:val="00C544EF"/>
    <w:rsid w:val="00C54995"/>
    <w:rsid w:val="00C54D41"/>
    <w:rsid w:val="00C551F5"/>
    <w:rsid w:val="00C55260"/>
    <w:rsid w:val="00C5537C"/>
    <w:rsid w:val="00C5576B"/>
    <w:rsid w:val="00C5577B"/>
    <w:rsid w:val="00C565AA"/>
    <w:rsid w:val="00C56B98"/>
    <w:rsid w:val="00C57684"/>
    <w:rsid w:val="00C5787D"/>
    <w:rsid w:val="00C57BDB"/>
    <w:rsid w:val="00C60557"/>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680"/>
    <w:rsid w:val="00C71B8F"/>
    <w:rsid w:val="00C71C5F"/>
    <w:rsid w:val="00C71E25"/>
    <w:rsid w:val="00C71E27"/>
    <w:rsid w:val="00C72093"/>
    <w:rsid w:val="00C723F0"/>
    <w:rsid w:val="00C72772"/>
    <w:rsid w:val="00C72CFC"/>
    <w:rsid w:val="00C72D20"/>
    <w:rsid w:val="00C72EF4"/>
    <w:rsid w:val="00C73589"/>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F20"/>
    <w:rsid w:val="00CA4153"/>
    <w:rsid w:val="00CA4D58"/>
    <w:rsid w:val="00CA5516"/>
    <w:rsid w:val="00CA5668"/>
    <w:rsid w:val="00CA5A9C"/>
    <w:rsid w:val="00CA5C63"/>
    <w:rsid w:val="00CA5D4C"/>
    <w:rsid w:val="00CA6338"/>
    <w:rsid w:val="00CA6C6E"/>
    <w:rsid w:val="00CA6D74"/>
    <w:rsid w:val="00CA742C"/>
    <w:rsid w:val="00CA75B4"/>
    <w:rsid w:val="00CA764C"/>
    <w:rsid w:val="00CA7687"/>
    <w:rsid w:val="00CA779E"/>
    <w:rsid w:val="00CB09AB"/>
    <w:rsid w:val="00CB0BDC"/>
    <w:rsid w:val="00CB0D6A"/>
    <w:rsid w:val="00CB0E89"/>
    <w:rsid w:val="00CB162D"/>
    <w:rsid w:val="00CB1901"/>
    <w:rsid w:val="00CB1F63"/>
    <w:rsid w:val="00CB23A0"/>
    <w:rsid w:val="00CB2D03"/>
    <w:rsid w:val="00CB2FD0"/>
    <w:rsid w:val="00CB3027"/>
    <w:rsid w:val="00CB3161"/>
    <w:rsid w:val="00CB31A0"/>
    <w:rsid w:val="00CB361F"/>
    <w:rsid w:val="00CB3C86"/>
    <w:rsid w:val="00CB3C9D"/>
    <w:rsid w:val="00CB40BB"/>
    <w:rsid w:val="00CB5A2C"/>
    <w:rsid w:val="00CB5BE6"/>
    <w:rsid w:val="00CB5C1D"/>
    <w:rsid w:val="00CB5EAE"/>
    <w:rsid w:val="00CB60FD"/>
    <w:rsid w:val="00CB684B"/>
    <w:rsid w:val="00CB68C6"/>
    <w:rsid w:val="00CB7170"/>
    <w:rsid w:val="00CB75B2"/>
    <w:rsid w:val="00CB77B8"/>
    <w:rsid w:val="00CB77ED"/>
    <w:rsid w:val="00CB78A9"/>
    <w:rsid w:val="00CB7E51"/>
    <w:rsid w:val="00CC040E"/>
    <w:rsid w:val="00CC06F4"/>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E7"/>
    <w:rsid w:val="00CD0713"/>
    <w:rsid w:val="00CD07AD"/>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938"/>
    <w:rsid w:val="00CE703E"/>
    <w:rsid w:val="00CE7343"/>
    <w:rsid w:val="00CE7561"/>
    <w:rsid w:val="00CE76EF"/>
    <w:rsid w:val="00CE7AA5"/>
    <w:rsid w:val="00CF096B"/>
    <w:rsid w:val="00CF0B7C"/>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267"/>
    <w:rsid w:val="00CF486D"/>
    <w:rsid w:val="00CF4B36"/>
    <w:rsid w:val="00CF4BA6"/>
    <w:rsid w:val="00CF4C90"/>
    <w:rsid w:val="00CF5277"/>
    <w:rsid w:val="00CF5620"/>
    <w:rsid w:val="00CF5FB6"/>
    <w:rsid w:val="00CF625B"/>
    <w:rsid w:val="00CF642F"/>
    <w:rsid w:val="00CF6635"/>
    <w:rsid w:val="00CF687E"/>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FFA"/>
    <w:rsid w:val="00D0423A"/>
    <w:rsid w:val="00D04737"/>
    <w:rsid w:val="00D049F6"/>
    <w:rsid w:val="00D04A57"/>
    <w:rsid w:val="00D04B23"/>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20759"/>
    <w:rsid w:val="00D20862"/>
    <w:rsid w:val="00D20FC6"/>
    <w:rsid w:val="00D211FE"/>
    <w:rsid w:val="00D21371"/>
    <w:rsid w:val="00D21AA1"/>
    <w:rsid w:val="00D222FB"/>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DEB"/>
    <w:rsid w:val="00D32AB4"/>
    <w:rsid w:val="00D32F62"/>
    <w:rsid w:val="00D33171"/>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72"/>
    <w:rsid w:val="00D438BF"/>
    <w:rsid w:val="00D43933"/>
    <w:rsid w:val="00D43953"/>
    <w:rsid w:val="00D43BA9"/>
    <w:rsid w:val="00D43FDE"/>
    <w:rsid w:val="00D440F8"/>
    <w:rsid w:val="00D44268"/>
    <w:rsid w:val="00D44436"/>
    <w:rsid w:val="00D444E4"/>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FF"/>
    <w:rsid w:val="00D55054"/>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B01"/>
    <w:rsid w:val="00D65D57"/>
    <w:rsid w:val="00D66155"/>
    <w:rsid w:val="00D66B2D"/>
    <w:rsid w:val="00D7006E"/>
    <w:rsid w:val="00D70769"/>
    <w:rsid w:val="00D708B0"/>
    <w:rsid w:val="00D710A8"/>
    <w:rsid w:val="00D719F8"/>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5566"/>
    <w:rsid w:val="00D75FDA"/>
    <w:rsid w:val="00D7634B"/>
    <w:rsid w:val="00D7649F"/>
    <w:rsid w:val="00D77075"/>
    <w:rsid w:val="00D77699"/>
    <w:rsid w:val="00D778AC"/>
    <w:rsid w:val="00D77A8B"/>
    <w:rsid w:val="00D77B1D"/>
    <w:rsid w:val="00D80139"/>
    <w:rsid w:val="00D8021F"/>
    <w:rsid w:val="00D80332"/>
    <w:rsid w:val="00D80383"/>
    <w:rsid w:val="00D805D2"/>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E6B"/>
    <w:rsid w:val="00D97288"/>
    <w:rsid w:val="00D97356"/>
    <w:rsid w:val="00DA0584"/>
    <w:rsid w:val="00DA0627"/>
    <w:rsid w:val="00DA1213"/>
    <w:rsid w:val="00DA18D0"/>
    <w:rsid w:val="00DA1A92"/>
    <w:rsid w:val="00DA243C"/>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7AB"/>
    <w:rsid w:val="00DA78AC"/>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753"/>
    <w:rsid w:val="00DD0A5A"/>
    <w:rsid w:val="00DD0F60"/>
    <w:rsid w:val="00DD1417"/>
    <w:rsid w:val="00DD1456"/>
    <w:rsid w:val="00DD15F3"/>
    <w:rsid w:val="00DD172F"/>
    <w:rsid w:val="00DD18CE"/>
    <w:rsid w:val="00DD21D4"/>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E0171"/>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D27"/>
    <w:rsid w:val="00DF058A"/>
    <w:rsid w:val="00DF0B6E"/>
    <w:rsid w:val="00DF15E0"/>
    <w:rsid w:val="00DF176C"/>
    <w:rsid w:val="00DF1911"/>
    <w:rsid w:val="00DF1C87"/>
    <w:rsid w:val="00DF2066"/>
    <w:rsid w:val="00DF2147"/>
    <w:rsid w:val="00DF2476"/>
    <w:rsid w:val="00DF263C"/>
    <w:rsid w:val="00DF2A4C"/>
    <w:rsid w:val="00DF3216"/>
    <w:rsid w:val="00DF366C"/>
    <w:rsid w:val="00DF37A0"/>
    <w:rsid w:val="00DF3B9A"/>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813"/>
    <w:rsid w:val="00E0498E"/>
    <w:rsid w:val="00E04CED"/>
    <w:rsid w:val="00E04F81"/>
    <w:rsid w:val="00E04FC5"/>
    <w:rsid w:val="00E0535B"/>
    <w:rsid w:val="00E053D7"/>
    <w:rsid w:val="00E05A2B"/>
    <w:rsid w:val="00E05DE2"/>
    <w:rsid w:val="00E06549"/>
    <w:rsid w:val="00E067ED"/>
    <w:rsid w:val="00E06F50"/>
    <w:rsid w:val="00E0722F"/>
    <w:rsid w:val="00E0745E"/>
    <w:rsid w:val="00E074A0"/>
    <w:rsid w:val="00E07B62"/>
    <w:rsid w:val="00E1016D"/>
    <w:rsid w:val="00E1058B"/>
    <w:rsid w:val="00E10778"/>
    <w:rsid w:val="00E107EF"/>
    <w:rsid w:val="00E10F9E"/>
    <w:rsid w:val="00E110E7"/>
    <w:rsid w:val="00E11B20"/>
    <w:rsid w:val="00E11D40"/>
    <w:rsid w:val="00E11E28"/>
    <w:rsid w:val="00E12413"/>
    <w:rsid w:val="00E132DB"/>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7504"/>
    <w:rsid w:val="00E1759D"/>
    <w:rsid w:val="00E17BC5"/>
    <w:rsid w:val="00E17FA2"/>
    <w:rsid w:val="00E17FCE"/>
    <w:rsid w:val="00E2052A"/>
    <w:rsid w:val="00E205F8"/>
    <w:rsid w:val="00E20953"/>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429B"/>
    <w:rsid w:val="00E64434"/>
    <w:rsid w:val="00E6458D"/>
    <w:rsid w:val="00E64F1F"/>
    <w:rsid w:val="00E650AD"/>
    <w:rsid w:val="00E66CFD"/>
    <w:rsid w:val="00E672F0"/>
    <w:rsid w:val="00E67AEA"/>
    <w:rsid w:val="00E67C51"/>
    <w:rsid w:val="00E67C64"/>
    <w:rsid w:val="00E67F15"/>
    <w:rsid w:val="00E70311"/>
    <w:rsid w:val="00E704B9"/>
    <w:rsid w:val="00E70518"/>
    <w:rsid w:val="00E70C4C"/>
    <w:rsid w:val="00E710FF"/>
    <w:rsid w:val="00E712A6"/>
    <w:rsid w:val="00E71948"/>
    <w:rsid w:val="00E71E96"/>
    <w:rsid w:val="00E72487"/>
    <w:rsid w:val="00E72D7C"/>
    <w:rsid w:val="00E72EFC"/>
    <w:rsid w:val="00E73526"/>
    <w:rsid w:val="00E73A23"/>
    <w:rsid w:val="00E73B06"/>
    <w:rsid w:val="00E73B44"/>
    <w:rsid w:val="00E73D7E"/>
    <w:rsid w:val="00E73E4E"/>
    <w:rsid w:val="00E7471D"/>
    <w:rsid w:val="00E74A36"/>
    <w:rsid w:val="00E75205"/>
    <w:rsid w:val="00E75407"/>
    <w:rsid w:val="00E7569B"/>
    <w:rsid w:val="00E758EC"/>
    <w:rsid w:val="00E75C03"/>
    <w:rsid w:val="00E75E2A"/>
    <w:rsid w:val="00E75F95"/>
    <w:rsid w:val="00E762C8"/>
    <w:rsid w:val="00E7667A"/>
    <w:rsid w:val="00E7678F"/>
    <w:rsid w:val="00E77B52"/>
    <w:rsid w:val="00E77BD2"/>
    <w:rsid w:val="00E77BD9"/>
    <w:rsid w:val="00E77D04"/>
    <w:rsid w:val="00E77E62"/>
    <w:rsid w:val="00E80334"/>
    <w:rsid w:val="00E80388"/>
    <w:rsid w:val="00E80616"/>
    <w:rsid w:val="00E806FE"/>
    <w:rsid w:val="00E80AB0"/>
    <w:rsid w:val="00E80E98"/>
    <w:rsid w:val="00E81145"/>
    <w:rsid w:val="00E81CC4"/>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78A"/>
    <w:rsid w:val="00E87822"/>
    <w:rsid w:val="00E87D21"/>
    <w:rsid w:val="00E87FD4"/>
    <w:rsid w:val="00E90395"/>
    <w:rsid w:val="00E90475"/>
    <w:rsid w:val="00E90E49"/>
    <w:rsid w:val="00E90F1B"/>
    <w:rsid w:val="00E90F80"/>
    <w:rsid w:val="00E9138D"/>
    <w:rsid w:val="00E91461"/>
    <w:rsid w:val="00E917F9"/>
    <w:rsid w:val="00E91EA5"/>
    <w:rsid w:val="00E92117"/>
    <w:rsid w:val="00E9227E"/>
    <w:rsid w:val="00E92364"/>
    <w:rsid w:val="00E925AD"/>
    <w:rsid w:val="00E9291C"/>
    <w:rsid w:val="00E92B16"/>
    <w:rsid w:val="00E9313B"/>
    <w:rsid w:val="00E9323A"/>
    <w:rsid w:val="00E93253"/>
    <w:rsid w:val="00E93AF3"/>
    <w:rsid w:val="00E93C40"/>
    <w:rsid w:val="00E93D6F"/>
    <w:rsid w:val="00E93FFE"/>
    <w:rsid w:val="00E9459D"/>
    <w:rsid w:val="00E94F8A"/>
    <w:rsid w:val="00E957D7"/>
    <w:rsid w:val="00E96269"/>
    <w:rsid w:val="00E965DE"/>
    <w:rsid w:val="00E969CC"/>
    <w:rsid w:val="00E96DB3"/>
    <w:rsid w:val="00E97377"/>
    <w:rsid w:val="00E978B8"/>
    <w:rsid w:val="00E97AF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FF"/>
    <w:rsid w:val="00EC1D09"/>
    <w:rsid w:val="00EC24D5"/>
    <w:rsid w:val="00EC27C6"/>
    <w:rsid w:val="00EC2ACA"/>
    <w:rsid w:val="00EC2FA2"/>
    <w:rsid w:val="00EC316D"/>
    <w:rsid w:val="00EC328D"/>
    <w:rsid w:val="00EC340E"/>
    <w:rsid w:val="00EC362D"/>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1A5"/>
    <w:rsid w:val="00EE2737"/>
    <w:rsid w:val="00EE28C0"/>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2361"/>
    <w:rsid w:val="00EF23C9"/>
    <w:rsid w:val="00EF255F"/>
    <w:rsid w:val="00EF28D6"/>
    <w:rsid w:val="00EF298A"/>
    <w:rsid w:val="00EF31F1"/>
    <w:rsid w:val="00EF35FF"/>
    <w:rsid w:val="00EF391F"/>
    <w:rsid w:val="00EF3DEA"/>
    <w:rsid w:val="00EF40E2"/>
    <w:rsid w:val="00EF494E"/>
    <w:rsid w:val="00EF5064"/>
    <w:rsid w:val="00EF509C"/>
    <w:rsid w:val="00EF50AB"/>
    <w:rsid w:val="00EF5787"/>
    <w:rsid w:val="00EF5D59"/>
    <w:rsid w:val="00EF60D0"/>
    <w:rsid w:val="00EF6358"/>
    <w:rsid w:val="00EF64F9"/>
    <w:rsid w:val="00EF6566"/>
    <w:rsid w:val="00EF68A4"/>
    <w:rsid w:val="00EF68EB"/>
    <w:rsid w:val="00EF6B06"/>
    <w:rsid w:val="00EF6FE1"/>
    <w:rsid w:val="00EF7115"/>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54AC"/>
    <w:rsid w:val="00F15ECD"/>
    <w:rsid w:val="00F15FA5"/>
    <w:rsid w:val="00F1601A"/>
    <w:rsid w:val="00F16231"/>
    <w:rsid w:val="00F1646B"/>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37E"/>
    <w:rsid w:val="00F313C9"/>
    <w:rsid w:val="00F313D6"/>
    <w:rsid w:val="00F31791"/>
    <w:rsid w:val="00F31F0C"/>
    <w:rsid w:val="00F32052"/>
    <w:rsid w:val="00F32099"/>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B56"/>
    <w:rsid w:val="00F72B72"/>
    <w:rsid w:val="00F72C23"/>
    <w:rsid w:val="00F733BC"/>
    <w:rsid w:val="00F73B86"/>
    <w:rsid w:val="00F73C29"/>
    <w:rsid w:val="00F74BB9"/>
    <w:rsid w:val="00F75582"/>
    <w:rsid w:val="00F75AD3"/>
    <w:rsid w:val="00F75E10"/>
    <w:rsid w:val="00F76150"/>
    <w:rsid w:val="00F76876"/>
    <w:rsid w:val="00F769C6"/>
    <w:rsid w:val="00F76A2F"/>
    <w:rsid w:val="00F76EFA"/>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AB6"/>
    <w:rsid w:val="00FA2BB3"/>
    <w:rsid w:val="00FA2CD3"/>
    <w:rsid w:val="00FA359C"/>
    <w:rsid w:val="00FA35C4"/>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C50"/>
    <w:rsid w:val="00FC4C8D"/>
    <w:rsid w:val="00FC4FDC"/>
    <w:rsid w:val="00FC5105"/>
    <w:rsid w:val="00FC5AA0"/>
    <w:rsid w:val="00FC5ADB"/>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FD"/>
    <w:rsid w:val="00FD3B17"/>
    <w:rsid w:val="00FD3E39"/>
    <w:rsid w:val="00FD3E72"/>
    <w:rsid w:val="00FD41D2"/>
    <w:rsid w:val="00FD456C"/>
    <w:rsid w:val="00FD47ED"/>
    <w:rsid w:val="00FD4AA7"/>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A8A"/>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0947C534-A092-43D6-B26F-D70CB751E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1/Docs//R2-230228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Docs//R2-230228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659C5F41-465E-4884-9404-03C040A6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5237</TotalTime>
  <Pages>8</Pages>
  <Words>3989</Words>
  <Characters>21501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3544</cp:revision>
  <cp:lastPrinted>2008-02-01T19:09:00Z</cp:lastPrinted>
  <dcterms:created xsi:type="dcterms:W3CDTF">2022-02-12T14:07:00Z</dcterms:created>
  <dcterms:modified xsi:type="dcterms:W3CDTF">2023-08-11T08:43:00Z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